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附件1：昆明理工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大学附属中学</w:t>
      </w:r>
      <w:r>
        <w:rPr>
          <w:rFonts w:hint="eastAsia" w:ascii="方正小标宋_GBK" w:eastAsia="方正小标宋_GBK"/>
          <w:sz w:val="32"/>
          <w:szCs w:val="32"/>
        </w:rPr>
        <w:t>采购项目询价表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项目名称：昆明理工大学附属中学学生储物柜采购</w:t>
      </w:r>
      <w:r>
        <w:rPr>
          <w:rFonts w:hint="eastAsia" w:ascii="Arial" w:hAnsi="Arial" w:cs="Arial"/>
          <w:color w:val="333333"/>
          <w:kern w:val="0"/>
          <w:sz w:val="24"/>
          <w:szCs w:val="24"/>
        </w:rPr>
        <w:t>项目</w:t>
      </w:r>
      <w:r>
        <w:rPr>
          <w:rFonts w:hint="eastAsia" w:ascii="宋体" w:hAnsi="宋体"/>
          <w:sz w:val="24"/>
          <w:szCs w:val="24"/>
        </w:rPr>
        <w:t xml:space="preserve">    预算金额：</w:t>
      </w:r>
      <w:r>
        <w:rPr>
          <w:rFonts w:hint="eastAsia" w:ascii="宋体" w:hAnsi="宋体"/>
          <w:sz w:val="24"/>
          <w:szCs w:val="24"/>
          <w:lang w:val="en-US" w:eastAsia="zh-CN"/>
        </w:rPr>
        <w:t>4.9万</w:t>
      </w:r>
      <w:r>
        <w:rPr>
          <w:rFonts w:hint="eastAsia" w:ascii="宋体" w:hAnsi="宋体"/>
          <w:sz w:val="24"/>
          <w:szCs w:val="24"/>
        </w:rPr>
        <w:t>元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</w:t>
      </w:r>
    </w:p>
    <w:tbl>
      <w:tblPr>
        <w:tblStyle w:val="9"/>
        <w:tblW w:w="11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04"/>
        <w:gridCol w:w="4117"/>
        <w:gridCol w:w="717"/>
        <w:gridCol w:w="550"/>
        <w:gridCol w:w="966"/>
        <w:gridCol w:w="1184"/>
        <w:gridCol w:w="1033"/>
        <w:gridCol w:w="883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技术参数要求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品牌、型号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参数偏离情况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报价单价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报价总价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定制四门储物柜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540*850*1720（mm）基材:0.6mm优质冷轧钢板，表面经脱脂、磷化、防腐除锈等九道工序处理确保不含油污及表面锈蚀，表面处理为聚氨酯静电粉末喷涂（环保无污染经静电粉末喷涂，无刺激气味，对人体无危害，表面平整光滑，结构稳定，不易生锈，变形,通体白色、经久耐用，简洁实用美观大方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（提供环保检测报告）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定制四门储物柜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540*850*1620（mm）基材:0.6mm优质冷轧钢板，表面经脱脂、磷化、防腐除锈等九道工序处理确保不含油污及表面锈蚀，表面处理为聚氨酯静电粉末喷涂（环保无污染经静电粉末喷涂，无刺激气味，对人体无危害，表面平整光滑，结构稳定，不易生锈，变形,通体白色、经久耐用，简洁实用美观大方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（提供环保检测报告）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="宋体" w:hAnsi="宋体"/>
                <w:sz w:val="24"/>
                <w:szCs w:val="24"/>
              </w:rPr>
              <w:t>货期</w:t>
            </w:r>
          </w:p>
        </w:tc>
        <w:tc>
          <w:tcPr>
            <w:tcW w:w="1025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1025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交货地点</w:t>
            </w:r>
          </w:p>
        </w:tc>
        <w:tc>
          <w:tcPr>
            <w:tcW w:w="1025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昆明理工大学附属中学教场校区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项目总报价</w:t>
            </w:r>
          </w:p>
        </w:tc>
        <w:tc>
          <w:tcPr>
            <w:tcW w:w="1025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                                      大写</w:t>
            </w:r>
            <w:r>
              <w:t>：</w:t>
            </w:r>
          </w:p>
        </w:tc>
      </w:tr>
    </w:tbl>
    <w:p>
      <w:pPr>
        <w:jc w:val="both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注：合同总价为包干价，包括但不限于货价、运费（送货至甲方指定地点）、检验、成本、人工、运输、安装、税务等费用。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                                  授权代表电话：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snapToGrid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供应商如实填写供货产品参数偏离情况，凡高于询价表要求的，填写“正偏离”；满足询价表要求的，按“无偏离”填写，低于询价表要求的，做废标处理；另各供应商总报价不得高于预算金额，否则做废标处理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Theme="minorEastAsia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本次询价</w:t>
      </w:r>
      <w:r>
        <w:rPr>
          <w:rFonts w:hint="eastAsia" w:ascii="宋体" w:hAnsi="宋体" w:cstheme="minorBidi"/>
          <w:kern w:val="2"/>
          <w:sz w:val="28"/>
          <w:szCs w:val="28"/>
          <w:highlight w:val="none"/>
          <w:lang w:val="en-US" w:eastAsia="zh-CN" w:bidi="ar-SA"/>
        </w:rPr>
        <w:t>实施</w:t>
      </w:r>
      <w:r>
        <w:rPr>
          <w:rFonts w:hint="eastAsia" w:ascii="宋体" w:hAnsi="宋体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二次报价。</w:t>
      </w:r>
      <w:r>
        <w:rPr>
          <w:rFonts w:hint="eastAsia" w:ascii="宋体" w:hAnsi="宋体" w:cstheme="minorBidi"/>
          <w:kern w:val="2"/>
          <w:sz w:val="28"/>
          <w:szCs w:val="28"/>
          <w:highlight w:val="none"/>
          <w:lang w:val="en-US" w:eastAsia="zh-CN" w:bidi="ar-SA"/>
        </w:rPr>
        <w:t>以二次报价作为</w:t>
      </w:r>
      <w:r>
        <w:rPr>
          <w:rFonts w:hint="eastAsia" w:ascii="宋体" w:hAnsi="宋体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最终报价，</w:t>
      </w:r>
      <w:r>
        <w:rPr>
          <w:rFonts w:hint="eastAsia" w:ascii="宋体" w:hAnsi="宋体" w:cstheme="minorBidi"/>
          <w:kern w:val="2"/>
          <w:sz w:val="28"/>
          <w:szCs w:val="28"/>
          <w:highlight w:val="none"/>
          <w:lang w:val="en-US" w:eastAsia="zh-CN" w:bidi="ar-SA"/>
        </w:rPr>
        <w:t>并以此作为评标依据。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供应商递交询价表时同时递交产品的主要板材。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板材退还时间：另行通知。成交人提供的板材，将由采购人进行保管、封存，并作为履约验收的参考。</w:t>
      </w:r>
    </w:p>
    <w:p>
      <w:pPr>
        <w:widowControl/>
        <w:spacing w:before="100" w:beforeAutospacing="1" w:after="100" w:afterAutospacing="1" w:line="440" w:lineRule="exact"/>
        <w:ind w:firstLine="510"/>
        <w:jc w:val="center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ind w:firstLine="510"/>
        <w:jc w:val="right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ind w:firstLine="510"/>
        <w:jc w:val="right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jc w:val="both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56433"/>
    <w:multiLevelType w:val="singleLevel"/>
    <w:tmpl w:val="930564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D8"/>
    <w:rsid w:val="000305DE"/>
    <w:rsid w:val="00035BAD"/>
    <w:rsid w:val="000E3FD8"/>
    <w:rsid w:val="001C5C90"/>
    <w:rsid w:val="00313316"/>
    <w:rsid w:val="004D7E05"/>
    <w:rsid w:val="00684922"/>
    <w:rsid w:val="00785823"/>
    <w:rsid w:val="00887938"/>
    <w:rsid w:val="00BA297E"/>
    <w:rsid w:val="00CB6AA0"/>
    <w:rsid w:val="00ED2A8B"/>
    <w:rsid w:val="04BF54ED"/>
    <w:rsid w:val="09F12019"/>
    <w:rsid w:val="0C127DC9"/>
    <w:rsid w:val="0C177F80"/>
    <w:rsid w:val="0E414970"/>
    <w:rsid w:val="0FD10D54"/>
    <w:rsid w:val="12BB2257"/>
    <w:rsid w:val="12DD14D4"/>
    <w:rsid w:val="17C20C4F"/>
    <w:rsid w:val="17C8049C"/>
    <w:rsid w:val="1F9C1D52"/>
    <w:rsid w:val="227C5572"/>
    <w:rsid w:val="23093581"/>
    <w:rsid w:val="234A2711"/>
    <w:rsid w:val="28DB7ADB"/>
    <w:rsid w:val="2ABA0EB3"/>
    <w:rsid w:val="2BC911D4"/>
    <w:rsid w:val="2C2E7660"/>
    <w:rsid w:val="2C411543"/>
    <w:rsid w:val="2F121EAB"/>
    <w:rsid w:val="2FFF5926"/>
    <w:rsid w:val="32FF18F6"/>
    <w:rsid w:val="34E76A1F"/>
    <w:rsid w:val="352126E8"/>
    <w:rsid w:val="36376B29"/>
    <w:rsid w:val="3A1D26AE"/>
    <w:rsid w:val="3D0E6C21"/>
    <w:rsid w:val="3EA05CA8"/>
    <w:rsid w:val="3EB67BD4"/>
    <w:rsid w:val="45B01FCF"/>
    <w:rsid w:val="493F1D65"/>
    <w:rsid w:val="4BDA27BE"/>
    <w:rsid w:val="4C91436D"/>
    <w:rsid w:val="4D487B9B"/>
    <w:rsid w:val="4DDC6DE8"/>
    <w:rsid w:val="4EFF1952"/>
    <w:rsid w:val="4FF3355F"/>
    <w:rsid w:val="51CA2296"/>
    <w:rsid w:val="54A157D8"/>
    <w:rsid w:val="550D0BD6"/>
    <w:rsid w:val="579C49E3"/>
    <w:rsid w:val="586F04D8"/>
    <w:rsid w:val="5C1827FD"/>
    <w:rsid w:val="63AC7073"/>
    <w:rsid w:val="64C57F67"/>
    <w:rsid w:val="64DF7231"/>
    <w:rsid w:val="65576AF7"/>
    <w:rsid w:val="67A65A2A"/>
    <w:rsid w:val="6D9A6C6E"/>
    <w:rsid w:val="700F043E"/>
    <w:rsid w:val="71795BEB"/>
    <w:rsid w:val="77F110E2"/>
    <w:rsid w:val="7B6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color w:val="auto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/>
      <w:kern w:val="2"/>
      <w:sz w:val="21"/>
      <w:szCs w:val="24"/>
    </w:rPr>
  </w:style>
  <w:style w:type="paragraph" w:styleId="5">
    <w:name w:val="Body Text Indent"/>
    <w:basedOn w:val="1"/>
    <w:unhideWhenUsed/>
    <w:qFormat/>
    <w:uiPriority w:val="0"/>
    <w:pPr>
      <w:spacing w:line="460" w:lineRule="exact"/>
      <w:ind w:firstLine="510"/>
    </w:pPr>
  </w:style>
  <w:style w:type="paragraph" w:styleId="6">
    <w:name w:val="Plain Text"/>
    <w:basedOn w:val="1"/>
    <w:next w:val="1"/>
    <w:qFormat/>
    <w:uiPriority w:val="99"/>
    <w:rPr>
      <w:snapToGrid/>
      <w:kern w:val="2"/>
      <w:szCs w:val="20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827</Characters>
  <Lines>6</Lines>
  <Paragraphs>1</Paragraphs>
  <TotalTime>8</TotalTime>
  <ScaleCrop>false</ScaleCrop>
  <LinksUpToDate>false</LinksUpToDate>
  <CharactersWithSpaces>970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2017-10-25T01:07:00Z</dcterms:created>
  <dc:creator>杨天武</dc:creator>
  <cp:lastModifiedBy>Z·X</cp:lastModifiedBy>
  <cp:lastPrinted>2020-08-06T12:50:00Z</cp:lastPrinted>
  <dcterms:modified xsi:type="dcterms:W3CDTF">2020-08-07T05:26:58Z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