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ind w:firstLine="510"/>
        <w:jc w:val="both"/>
        <w:rPr>
          <w:rFonts w:hint="eastAsia" w:ascii="宋体" w:hAnsi="宋体" w:eastAsia="宋体" w:cs="Arial"/>
          <w:color w:val="000000" w:themeColor="text1"/>
          <w:kern w:val="0"/>
          <w:sz w:val="24"/>
          <w:szCs w:val="24"/>
          <w14:textFill>
            <w14:solidFill>
              <w14:schemeClr w14:val="tx1"/>
            </w14:solidFill>
          </w14:textFill>
        </w:rPr>
      </w:pPr>
      <w:bookmarkStart w:id="1" w:name="_GoBack"/>
      <w:bookmarkEnd w:id="1"/>
    </w:p>
    <w:p>
      <w:pPr>
        <w:widowControl/>
        <w:spacing w:before="100" w:beforeAutospacing="1" w:after="100" w:afterAutospacing="1" w:line="440" w:lineRule="exact"/>
        <w:jc w:val="both"/>
        <w:rPr>
          <w:rFonts w:hint="eastAsia" w:ascii="宋体" w:hAnsi="宋体" w:eastAsia="宋体" w:cs="Arial"/>
          <w:color w:val="000000" w:themeColor="text1"/>
          <w:kern w:val="0"/>
          <w:sz w:val="24"/>
          <w:szCs w:val="24"/>
          <w:lang w:eastAsia="zh-CN"/>
          <w14:textFill>
            <w14:solidFill>
              <w14:schemeClr w14:val="tx1"/>
            </w14:solidFill>
          </w14:textFill>
        </w:rPr>
      </w:pPr>
    </w:p>
    <w:p>
      <w:pPr>
        <w:widowControl/>
        <w:spacing w:before="100" w:beforeAutospacing="1" w:after="100" w:afterAutospacing="1" w:line="44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eastAsia="宋体" w:cs="Arial"/>
          <w:color w:val="000000" w:themeColor="text1"/>
          <w:kern w:val="0"/>
          <w:sz w:val="24"/>
          <w:szCs w:val="24"/>
          <w:lang w:eastAsia="zh-CN"/>
          <w14:textFill>
            <w14:solidFill>
              <w14:schemeClr w14:val="tx1"/>
            </w14:solidFill>
          </w14:textFill>
        </w:rPr>
        <w:t>附件</w:t>
      </w:r>
      <w:r>
        <w:rPr>
          <w:rFonts w:hint="eastAsia" w:ascii="宋体" w:hAnsi="宋体" w:eastAsia="宋体" w:cs="Arial"/>
          <w:color w:val="000000" w:themeColor="text1"/>
          <w:kern w:val="0"/>
          <w:sz w:val="24"/>
          <w:szCs w:val="24"/>
          <w:lang w:val="en-US" w:eastAsia="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中学床垫</w:t>
      </w:r>
      <w:r>
        <w:rPr>
          <w:rFonts w:hint="eastAsia" w:ascii="宋体" w:hAnsi="宋体"/>
          <w:color w:val="000000" w:themeColor="text1"/>
          <w:sz w:val="24"/>
          <w:szCs w:val="24"/>
          <w:lang w:val="en-US" w:eastAsia="zh-CN"/>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kg</w:t>
      </w:r>
      <w:r>
        <w:rPr>
          <w:rFonts w:hint="eastAsia" w:ascii="宋体" w:hAnsi="宋体"/>
          <w:color w:val="000000" w:themeColor="text1"/>
          <w:sz w:val="24"/>
          <w:szCs w:val="24"/>
          <w:lang w:val="en-US" w:eastAsia="zh-CN"/>
          <w14:textFill>
            <w14:solidFill>
              <w14:schemeClr w14:val="tx1"/>
            </w14:solidFill>
          </w14:textFill>
        </w:rPr>
        <w:t>yj009</w:t>
      </w:r>
      <w:r>
        <w:rPr>
          <w:rFonts w:hint="eastAsia" w:ascii="宋体" w:hAnsi="宋体"/>
          <w:color w:val="000000" w:themeColor="text1"/>
          <w:sz w:val="24"/>
          <w:szCs w:val="24"/>
          <w14:textFill>
            <w14:solidFill>
              <w14:schemeClr w14:val="tx1"/>
            </w14:solidFill>
          </w14:textFill>
        </w:rPr>
        <w:t>）询价文件</w:t>
      </w:r>
    </w:p>
    <w:p>
      <w:pPr>
        <w:jc w:val="center"/>
        <w:rPr>
          <w:rFonts w:hint="eastAsia" w:asciiTheme="minorEastAsia" w:hAnsi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昆明理工大学附属中学床垫项目询价内容及要求</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一、具体要求</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（一）长宽规格为0.9*2.0m，厚度2cm，重4Kg的环保棕垫，并提供该批次质检合格报告，若有环评报告一并提供。具体需求如表1：</w:t>
      </w:r>
    </w:p>
    <w:p>
      <w:pPr>
        <w:jc w:val="center"/>
        <w:rPr>
          <w:rFonts w:hint="eastAsia" w:ascii="宋体" w:hAnsi="宋体" w:eastAsiaTheme="minorEastAsia"/>
          <w:sz w:val="24"/>
          <w:szCs w:val="24"/>
          <w:lang w:eastAsia="zh-CN"/>
        </w:rPr>
      </w:pPr>
      <w:r>
        <w:rPr>
          <w:rFonts w:hint="eastAsia" w:ascii="宋体" w:hAnsi="宋体"/>
          <w:sz w:val="24"/>
          <w:szCs w:val="24"/>
          <w:lang w:eastAsia="zh-CN"/>
        </w:rPr>
        <w:t>表</w:t>
      </w:r>
      <w:r>
        <w:rPr>
          <w:rFonts w:hint="eastAsia" w:ascii="宋体" w:hAnsi="宋体"/>
          <w:sz w:val="24"/>
          <w:szCs w:val="24"/>
          <w:lang w:val="en-US" w:eastAsia="zh-CN"/>
        </w:rPr>
        <w:t xml:space="preserve">1 </w:t>
      </w:r>
      <w:r>
        <w:rPr>
          <w:rFonts w:hint="eastAsia" w:ascii="宋体" w:hAnsi="宋体"/>
          <w:sz w:val="24"/>
          <w:szCs w:val="24"/>
        </w:rPr>
        <w:t>昆明理工大学附属中学学生</w:t>
      </w:r>
      <w:r>
        <w:rPr>
          <w:rFonts w:hint="eastAsia" w:ascii="宋体" w:hAnsi="宋体"/>
          <w:sz w:val="24"/>
          <w:szCs w:val="24"/>
          <w:lang w:eastAsia="zh-CN"/>
        </w:rPr>
        <w:t>床垫询价表</w:t>
      </w:r>
    </w:p>
    <w:p>
      <w:pPr>
        <w:jc w:val="left"/>
        <w:rPr>
          <w:rFonts w:ascii="宋体" w:hAnsi="宋体"/>
          <w:sz w:val="24"/>
          <w:szCs w:val="24"/>
        </w:rPr>
      </w:pPr>
      <w:r>
        <w:rPr>
          <w:rFonts w:hint="eastAsia" w:ascii="宋体" w:hAnsi="宋体"/>
          <w:sz w:val="24"/>
          <w:szCs w:val="24"/>
        </w:rPr>
        <w:t xml:space="preserve">                      </w:t>
      </w:r>
    </w:p>
    <w:tbl>
      <w:tblPr>
        <w:tblStyle w:val="8"/>
        <w:tblW w:w="11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706"/>
        <w:gridCol w:w="2720"/>
        <w:gridCol w:w="890"/>
        <w:gridCol w:w="742"/>
        <w:gridCol w:w="1375"/>
        <w:gridCol w:w="1094"/>
        <w:gridCol w:w="1150"/>
        <w:gridCol w:w="115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69" w:type="dxa"/>
            <w:noWrap w:val="0"/>
            <w:vAlign w:val="center"/>
          </w:tcPr>
          <w:p>
            <w:pPr>
              <w:jc w:val="center"/>
              <w:rPr>
                <w:rFonts w:ascii="宋体" w:hAnsi="宋体"/>
                <w:b/>
                <w:sz w:val="24"/>
                <w:szCs w:val="24"/>
              </w:rPr>
            </w:pPr>
            <w:r>
              <w:rPr>
                <w:rFonts w:hint="eastAsia" w:ascii="宋体" w:hAnsi="宋体"/>
                <w:b/>
                <w:sz w:val="24"/>
                <w:szCs w:val="24"/>
              </w:rPr>
              <w:t>序号</w:t>
            </w:r>
          </w:p>
        </w:tc>
        <w:tc>
          <w:tcPr>
            <w:tcW w:w="706" w:type="dxa"/>
            <w:noWrap w:val="0"/>
            <w:vAlign w:val="center"/>
          </w:tcPr>
          <w:p>
            <w:pPr>
              <w:jc w:val="center"/>
              <w:rPr>
                <w:rFonts w:ascii="宋体" w:hAnsi="宋体"/>
                <w:b/>
                <w:sz w:val="24"/>
                <w:szCs w:val="24"/>
              </w:rPr>
            </w:pPr>
            <w:r>
              <w:rPr>
                <w:rFonts w:hint="eastAsia" w:ascii="宋体" w:hAnsi="宋体"/>
                <w:b/>
                <w:sz w:val="24"/>
                <w:szCs w:val="24"/>
              </w:rPr>
              <w:t>产品名称</w:t>
            </w:r>
          </w:p>
        </w:tc>
        <w:tc>
          <w:tcPr>
            <w:tcW w:w="2720" w:type="dxa"/>
            <w:noWrap w:val="0"/>
            <w:vAlign w:val="center"/>
          </w:tcPr>
          <w:p>
            <w:pPr>
              <w:jc w:val="center"/>
              <w:rPr>
                <w:rFonts w:ascii="宋体" w:hAnsi="宋体"/>
                <w:b/>
                <w:sz w:val="24"/>
                <w:szCs w:val="24"/>
              </w:rPr>
            </w:pPr>
            <w:r>
              <w:rPr>
                <w:rFonts w:hint="eastAsia" w:ascii="宋体" w:hAnsi="宋体"/>
                <w:b/>
                <w:sz w:val="24"/>
                <w:szCs w:val="24"/>
              </w:rPr>
              <w:t>技术参数要求</w:t>
            </w:r>
          </w:p>
        </w:tc>
        <w:tc>
          <w:tcPr>
            <w:tcW w:w="890" w:type="dxa"/>
            <w:noWrap w:val="0"/>
            <w:vAlign w:val="center"/>
          </w:tcPr>
          <w:p>
            <w:pPr>
              <w:jc w:val="center"/>
              <w:rPr>
                <w:rFonts w:hint="eastAsia" w:ascii="宋体" w:hAnsi="宋体"/>
                <w:b/>
                <w:sz w:val="24"/>
                <w:szCs w:val="24"/>
              </w:rPr>
            </w:pPr>
            <w:r>
              <w:rPr>
                <w:rFonts w:hint="eastAsia" w:ascii="宋体" w:hAnsi="宋体"/>
                <w:b/>
                <w:sz w:val="24"/>
                <w:szCs w:val="24"/>
              </w:rPr>
              <w:t>数量</w:t>
            </w:r>
          </w:p>
        </w:tc>
        <w:tc>
          <w:tcPr>
            <w:tcW w:w="742" w:type="dxa"/>
            <w:noWrap w:val="0"/>
            <w:vAlign w:val="center"/>
          </w:tcPr>
          <w:p>
            <w:pPr>
              <w:jc w:val="center"/>
              <w:rPr>
                <w:rFonts w:hint="eastAsia" w:ascii="宋体" w:hAnsi="宋体"/>
                <w:b/>
                <w:sz w:val="24"/>
                <w:szCs w:val="24"/>
              </w:rPr>
            </w:pPr>
            <w:r>
              <w:rPr>
                <w:rFonts w:hint="eastAsia" w:ascii="宋体" w:hAnsi="宋体"/>
                <w:b/>
                <w:sz w:val="24"/>
                <w:szCs w:val="24"/>
              </w:rPr>
              <w:t>单位</w:t>
            </w:r>
          </w:p>
        </w:tc>
        <w:tc>
          <w:tcPr>
            <w:tcW w:w="1375" w:type="dxa"/>
            <w:noWrap w:val="0"/>
            <w:vAlign w:val="center"/>
          </w:tcPr>
          <w:p>
            <w:pPr>
              <w:jc w:val="center"/>
              <w:rPr>
                <w:rFonts w:ascii="宋体" w:hAnsi="宋体"/>
                <w:b/>
                <w:sz w:val="24"/>
                <w:szCs w:val="24"/>
              </w:rPr>
            </w:pPr>
            <w:r>
              <w:rPr>
                <w:rFonts w:ascii="宋体" w:hAnsi="宋体"/>
                <w:b/>
                <w:sz w:val="24"/>
                <w:szCs w:val="24"/>
              </w:rPr>
              <w:t>供货产品</w:t>
            </w:r>
          </w:p>
          <w:p>
            <w:pPr>
              <w:jc w:val="center"/>
              <w:rPr>
                <w:rFonts w:ascii="宋体" w:hAnsi="宋体"/>
                <w:b/>
                <w:sz w:val="24"/>
                <w:szCs w:val="24"/>
              </w:rPr>
            </w:pPr>
            <w:r>
              <w:rPr>
                <w:rFonts w:hint="eastAsia" w:ascii="宋体" w:hAnsi="宋体"/>
                <w:b/>
                <w:sz w:val="24"/>
                <w:szCs w:val="24"/>
              </w:rPr>
              <w:t>品牌、型号</w:t>
            </w:r>
          </w:p>
        </w:tc>
        <w:tc>
          <w:tcPr>
            <w:tcW w:w="1094" w:type="dxa"/>
            <w:noWrap w:val="0"/>
            <w:vAlign w:val="center"/>
          </w:tcPr>
          <w:p>
            <w:pPr>
              <w:jc w:val="center"/>
              <w:rPr>
                <w:rFonts w:ascii="宋体" w:hAnsi="宋体"/>
                <w:b/>
                <w:sz w:val="24"/>
                <w:szCs w:val="24"/>
              </w:rPr>
            </w:pPr>
            <w:r>
              <w:rPr>
                <w:rFonts w:ascii="宋体" w:hAnsi="宋体"/>
                <w:b/>
                <w:sz w:val="24"/>
                <w:szCs w:val="24"/>
              </w:rPr>
              <w:t>供货产品</w:t>
            </w:r>
          </w:p>
          <w:p>
            <w:pPr>
              <w:jc w:val="center"/>
              <w:rPr>
                <w:b/>
                <w:sz w:val="24"/>
                <w:szCs w:val="24"/>
              </w:rPr>
            </w:pPr>
            <w:r>
              <w:rPr>
                <w:rFonts w:hint="eastAsia" w:ascii="宋体" w:hAnsi="宋体"/>
                <w:b/>
                <w:sz w:val="24"/>
                <w:szCs w:val="24"/>
              </w:rPr>
              <w:t>参数偏离情况</w:t>
            </w:r>
          </w:p>
        </w:tc>
        <w:tc>
          <w:tcPr>
            <w:tcW w:w="1150" w:type="dxa"/>
            <w:noWrap w:val="0"/>
            <w:vAlign w:val="center"/>
          </w:tcPr>
          <w:p>
            <w:pPr>
              <w:jc w:val="center"/>
              <w:rPr>
                <w:rFonts w:ascii="宋体" w:hAnsi="宋体"/>
                <w:b/>
                <w:sz w:val="24"/>
                <w:szCs w:val="24"/>
              </w:rPr>
            </w:pPr>
            <w:r>
              <w:rPr>
                <w:rFonts w:hint="eastAsia" w:ascii="宋体" w:hAnsi="宋体"/>
                <w:b/>
                <w:sz w:val="24"/>
                <w:szCs w:val="24"/>
              </w:rPr>
              <w:t>报价单价</w:t>
            </w:r>
          </w:p>
          <w:p>
            <w:pPr>
              <w:jc w:val="center"/>
              <w:rPr>
                <w:rFonts w:hint="eastAsia" w:ascii="宋体" w:hAnsi="宋体"/>
                <w:b/>
                <w:sz w:val="24"/>
                <w:szCs w:val="24"/>
              </w:rPr>
            </w:pPr>
            <w:r>
              <w:rPr>
                <w:rFonts w:hint="eastAsia" w:ascii="宋体" w:hAnsi="宋体"/>
                <w:b/>
                <w:sz w:val="24"/>
                <w:szCs w:val="24"/>
              </w:rPr>
              <w:t>（元）</w:t>
            </w:r>
          </w:p>
        </w:tc>
        <w:tc>
          <w:tcPr>
            <w:tcW w:w="1150" w:type="dxa"/>
            <w:noWrap w:val="0"/>
            <w:vAlign w:val="center"/>
          </w:tcPr>
          <w:p>
            <w:pPr>
              <w:jc w:val="center"/>
              <w:rPr>
                <w:rFonts w:ascii="宋体" w:hAnsi="宋体"/>
                <w:b/>
                <w:sz w:val="24"/>
                <w:szCs w:val="24"/>
              </w:rPr>
            </w:pPr>
            <w:r>
              <w:rPr>
                <w:rFonts w:hint="eastAsia" w:ascii="宋体" w:hAnsi="宋体"/>
                <w:b/>
                <w:sz w:val="24"/>
                <w:szCs w:val="24"/>
              </w:rPr>
              <w:t>报价总价</w:t>
            </w:r>
          </w:p>
          <w:p>
            <w:pPr>
              <w:jc w:val="center"/>
              <w:rPr>
                <w:rFonts w:hint="eastAsia" w:ascii="宋体" w:hAnsi="宋体"/>
                <w:b/>
                <w:sz w:val="24"/>
                <w:szCs w:val="24"/>
              </w:rPr>
            </w:pPr>
            <w:r>
              <w:rPr>
                <w:rFonts w:hint="eastAsia" w:ascii="宋体" w:hAnsi="宋体"/>
                <w:b/>
                <w:sz w:val="24"/>
                <w:szCs w:val="24"/>
              </w:rPr>
              <w:t>（元）</w:t>
            </w:r>
          </w:p>
        </w:tc>
        <w:tc>
          <w:tcPr>
            <w:tcW w:w="1033" w:type="dxa"/>
            <w:noWrap w:val="0"/>
            <w:vAlign w:val="center"/>
          </w:tcPr>
          <w:p>
            <w:pPr>
              <w:jc w:val="center"/>
              <w:rPr>
                <w:rFonts w:hint="eastAsia"/>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69" w:type="dxa"/>
            <w:noWrap w:val="0"/>
            <w:vAlign w:val="center"/>
          </w:tcPr>
          <w:p>
            <w:pPr>
              <w:jc w:val="center"/>
              <w:rPr>
                <w:rFonts w:hint="eastAsia" w:ascii="宋体" w:hAnsi="宋体"/>
                <w:sz w:val="24"/>
                <w:szCs w:val="24"/>
              </w:rPr>
            </w:pPr>
            <w:r>
              <w:rPr>
                <w:rFonts w:hint="eastAsia" w:ascii="宋体" w:hAnsi="宋体"/>
                <w:sz w:val="24"/>
                <w:szCs w:val="24"/>
              </w:rPr>
              <w:t>1</w:t>
            </w:r>
          </w:p>
        </w:tc>
        <w:tc>
          <w:tcPr>
            <w:tcW w:w="706" w:type="dxa"/>
            <w:noWrap w:val="0"/>
            <w:vAlign w:val="center"/>
          </w:tcPr>
          <w:p>
            <w:pPr>
              <w:jc w:val="center"/>
              <w:rPr>
                <w:rFonts w:hint="eastAsia" w:ascii="宋体" w:hAnsi="宋体" w:eastAsiaTheme="minorEastAsia"/>
                <w:sz w:val="24"/>
                <w:szCs w:val="24"/>
                <w:lang w:eastAsia="zh-CN"/>
              </w:rPr>
            </w:pPr>
            <w:r>
              <w:rPr>
                <w:rFonts w:hint="eastAsia" w:ascii="宋体" w:hAnsi="宋体"/>
                <w:sz w:val="24"/>
                <w:szCs w:val="24"/>
              </w:rPr>
              <w:t>环保棕垫</w:t>
            </w:r>
            <w:r>
              <w:rPr>
                <w:rFonts w:hint="eastAsia" w:ascii="宋体" w:hAnsi="宋体"/>
                <w:sz w:val="24"/>
                <w:szCs w:val="24"/>
                <w:lang w:eastAsia="zh-CN"/>
              </w:rPr>
              <w:t>床垫</w:t>
            </w:r>
          </w:p>
        </w:tc>
        <w:tc>
          <w:tcPr>
            <w:tcW w:w="2720" w:type="dxa"/>
            <w:noWrap w:val="0"/>
            <w:vAlign w:val="center"/>
          </w:tcPr>
          <w:p>
            <w:pPr>
              <w:jc w:val="left"/>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长宽规格为0.9*2.0m，厚度2cm，重4Kg，</w:t>
            </w:r>
          </w:p>
          <w:p>
            <w:pPr>
              <w:pStyle w:val="2"/>
              <w:rPr>
                <w:rFonts w:hint="eastAsia"/>
              </w:rPr>
            </w:pPr>
            <w:r>
              <w:rPr>
                <w:rFonts w:hint="eastAsia" w:asciiTheme="minorEastAsia" w:hAnsiTheme="minorEastAsia" w:eastAsiaTheme="minorEastAsia" w:cstheme="minorBidi"/>
                <w:kern w:val="2"/>
                <w:sz w:val="24"/>
                <w:szCs w:val="24"/>
                <w:lang w:val="en-US" w:eastAsia="zh-CN" w:bidi="ar-SA"/>
              </w:rPr>
              <w:t>提供该批次质检合格报告，若有环评报告一并提供。</w:t>
            </w:r>
          </w:p>
        </w:tc>
        <w:tc>
          <w:tcPr>
            <w:tcW w:w="890" w:type="dxa"/>
            <w:noWrap w:val="0"/>
            <w:vAlign w:val="top"/>
          </w:tcPr>
          <w:p>
            <w:pPr>
              <w:jc w:val="center"/>
              <w:rPr>
                <w:rFonts w:hint="eastAsia" w:ascii="宋体" w:hAnsi="宋体"/>
                <w:sz w:val="24"/>
                <w:szCs w:val="24"/>
              </w:rPr>
            </w:pPr>
          </w:p>
          <w:p>
            <w:pPr>
              <w:jc w:val="center"/>
              <w:rPr>
                <w:rFonts w:hint="eastAsia" w:ascii="宋体" w:hAnsi="宋体"/>
                <w:sz w:val="24"/>
                <w:szCs w:val="24"/>
              </w:rPr>
            </w:pPr>
          </w:p>
          <w:p>
            <w:pPr>
              <w:jc w:val="center"/>
              <w:rPr>
                <w:rFonts w:hint="eastAsia" w:ascii="宋体" w:hAnsi="宋体"/>
                <w:sz w:val="24"/>
                <w:szCs w:val="24"/>
              </w:rPr>
            </w:pPr>
          </w:p>
          <w:p>
            <w:pPr>
              <w:jc w:val="both"/>
              <w:rPr>
                <w:rFonts w:hint="eastAsia" w:ascii="宋体" w:hAnsi="宋体"/>
                <w:sz w:val="24"/>
                <w:szCs w:val="24"/>
              </w:rPr>
            </w:pPr>
          </w:p>
          <w:p>
            <w:pPr>
              <w:jc w:val="center"/>
              <w:rPr>
                <w:rFonts w:hint="default" w:ascii="宋体" w:hAnsi="宋体" w:eastAsiaTheme="minorEastAsia"/>
                <w:sz w:val="24"/>
                <w:szCs w:val="24"/>
                <w:lang w:val="en-US" w:eastAsia="zh-CN"/>
              </w:rPr>
            </w:pPr>
            <w:r>
              <w:rPr>
                <w:rFonts w:hint="eastAsia" w:ascii="宋体" w:hAnsi="宋体"/>
                <w:sz w:val="24"/>
                <w:szCs w:val="24"/>
                <w:lang w:val="en-US" w:eastAsia="zh-CN"/>
              </w:rPr>
              <w:t>570</w:t>
            </w:r>
          </w:p>
        </w:tc>
        <w:tc>
          <w:tcPr>
            <w:tcW w:w="742" w:type="dxa"/>
            <w:noWrap w:val="0"/>
            <w:vAlign w:val="center"/>
          </w:tcPr>
          <w:p>
            <w:pPr>
              <w:jc w:val="center"/>
              <w:rPr>
                <w:rFonts w:hint="eastAsia" w:ascii="宋体" w:hAnsi="宋体"/>
                <w:sz w:val="24"/>
                <w:szCs w:val="24"/>
              </w:rPr>
            </w:pPr>
          </w:p>
          <w:p>
            <w:pPr>
              <w:jc w:val="center"/>
              <w:rPr>
                <w:rFonts w:hint="eastAsia" w:ascii="宋体" w:hAnsi="宋体" w:eastAsiaTheme="minorEastAsia"/>
                <w:sz w:val="24"/>
                <w:szCs w:val="24"/>
                <w:lang w:eastAsia="zh-CN"/>
              </w:rPr>
            </w:pPr>
            <w:r>
              <w:rPr>
                <w:rFonts w:hint="eastAsia" w:ascii="宋体" w:hAnsi="宋体"/>
                <w:sz w:val="24"/>
                <w:szCs w:val="24"/>
                <w:lang w:eastAsia="zh-CN"/>
              </w:rPr>
              <w:t>张</w:t>
            </w:r>
          </w:p>
        </w:tc>
        <w:tc>
          <w:tcPr>
            <w:tcW w:w="1375" w:type="dxa"/>
            <w:noWrap w:val="0"/>
            <w:vAlign w:val="center"/>
          </w:tcPr>
          <w:p>
            <w:pPr>
              <w:jc w:val="center"/>
              <w:rPr>
                <w:rFonts w:hint="eastAsia" w:ascii="宋体" w:hAnsi="宋体"/>
                <w:sz w:val="24"/>
                <w:szCs w:val="24"/>
              </w:rPr>
            </w:pPr>
          </w:p>
        </w:tc>
        <w:tc>
          <w:tcPr>
            <w:tcW w:w="1094" w:type="dxa"/>
            <w:noWrap w:val="0"/>
            <w:vAlign w:val="center"/>
          </w:tcPr>
          <w:p>
            <w:pPr>
              <w:jc w:val="center"/>
              <w:rPr>
                <w:rFonts w:ascii="宋体" w:hAnsi="宋体" w:cs="Arial"/>
                <w:sz w:val="18"/>
                <w:szCs w:val="18"/>
              </w:rPr>
            </w:pPr>
          </w:p>
        </w:tc>
        <w:tc>
          <w:tcPr>
            <w:tcW w:w="1150" w:type="dxa"/>
            <w:noWrap w:val="0"/>
            <w:vAlign w:val="center"/>
          </w:tcPr>
          <w:p>
            <w:pPr>
              <w:jc w:val="center"/>
              <w:rPr>
                <w:rFonts w:hint="eastAsia" w:ascii="宋体" w:hAnsi="宋体"/>
                <w:sz w:val="24"/>
                <w:szCs w:val="24"/>
              </w:rPr>
            </w:pPr>
          </w:p>
        </w:tc>
        <w:tc>
          <w:tcPr>
            <w:tcW w:w="1150" w:type="dxa"/>
            <w:noWrap w:val="0"/>
            <w:vAlign w:val="center"/>
          </w:tcPr>
          <w:p>
            <w:pPr>
              <w:jc w:val="center"/>
              <w:rPr>
                <w:rFonts w:hint="eastAsia"/>
              </w:rPr>
            </w:pPr>
          </w:p>
        </w:tc>
        <w:tc>
          <w:tcPr>
            <w:tcW w:w="1033"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75" w:type="dxa"/>
            <w:gridSpan w:val="2"/>
            <w:noWrap w:val="0"/>
            <w:vAlign w:val="center"/>
          </w:tcPr>
          <w:p>
            <w:pPr>
              <w:jc w:val="center"/>
              <w:rPr>
                <w:rFonts w:hint="eastAsia" w:ascii="宋体" w:hAnsi="宋体"/>
                <w:sz w:val="24"/>
                <w:szCs w:val="24"/>
              </w:rPr>
            </w:pPr>
            <w:r>
              <w:rPr>
                <w:rFonts w:hint="eastAsia" w:ascii="宋体" w:hAnsi="宋体"/>
                <w:sz w:val="24"/>
                <w:szCs w:val="24"/>
                <w:lang w:eastAsia="zh-CN"/>
              </w:rPr>
              <w:t>交</w:t>
            </w:r>
            <w:r>
              <w:rPr>
                <w:rFonts w:hint="eastAsia" w:ascii="宋体" w:hAnsi="宋体"/>
                <w:sz w:val="24"/>
                <w:szCs w:val="24"/>
              </w:rPr>
              <w:t>货期</w:t>
            </w:r>
          </w:p>
        </w:tc>
        <w:tc>
          <w:tcPr>
            <w:tcW w:w="10154" w:type="dxa"/>
            <w:gridSpan w:val="8"/>
            <w:noWrap w:val="0"/>
            <w:vAlign w:val="center"/>
          </w:tcPr>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75" w:type="dxa"/>
            <w:gridSpan w:val="2"/>
            <w:noWrap w:val="0"/>
            <w:vAlign w:val="center"/>
          </w:tcPr>
          <w:p>
            <w:pPr>
              <w:jc w:val="center"/>
              <w:rPr>
                <w:rFonts w:hint="eastAsia" w:ascii="宋体" w:hAnsi="宋体" w:eastAsia="宋体"/>
                <w:sz w:val="24"/>
                <w:szCs w:val="24"/>
                <w:lang w:eastAsia="zh-CN"/>
              </w:rPr>
            </w:pPr>
            <w:r>
              <w:rPr>
                <w:rFonts w:hint="eastAsia" w:ascii="宋体" w:hAnsi="宋体"/>
                <w:sz w:val="24"/>
                <w:szCs w:val="24"/>
                <w:lang w:eastAsia="zh-CN"/>
              </w:rPr>
              <w:t>质保期</w:t>
            </w:r>
          </w:p>
        </w:tc>
        <w:tc>
          <w:tcPr>
            <w:tcW w:w="10154" w:type="dxa"/>
            <w:gridSpan w:val="8"/>
            <w:noWrap w:val="0"/>
            <w:vAlign w:val="center"/>
          </w:tcPr>
          <w:p>
            <w:pPr>
              <w:widowControl/>
              <w:jc w:val="left"/>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75" w:type="dxa"/>
            <w:gridSpan w:val="2"/>
            <w:noWrap w:val="0"/>
            <w:vAlign w:val="center"/>
          </w:tcPr>
          <w:p>
            <w:pPr>
              <w:jc w:val="center"/>
              <w:rPr>
                <w:rFonts w:hint="eastAsia" w:ascii="宋体" w:hAnsi="宋体"/>
                <w:sz w:val="24"/>
                <w:szCs w:val="24"/>
                <w:lang w:eastAsia="zh-CN"/>
              </w:rPr>
            </w:pPr>
            <w:r>
              <w:rPr>
                <w:rFonts w:hint="eastAsia" w:ascii="宋体" w:hAnsi="宋体"/>
                <w:sz w:val="24"/>
                <w:szCs w:val="24"/>
                <w:lang w:eastAsia="zh-CN"/>
              </w:rPr>
              <w:t>交货地点</w:t>
            </w:r>
          </w:p>
        </w:tc>
        <w:tc>
          <w:tcPr>
            <w:tcW w:w="10154" w:type="dxa"/>
            <w:gridSpan w:val="8"/>
            <w:noWrap w:val="0"/>
            <w:vAlign w:val="center"/>
          </w:tcPr>
          <w:p>
            <w:pPr>
              <w:widowControl/>
              <w:jc w:val="left"/>
              <w:rPr>
                <w:rFonts w:hint="eastAsia" w:ascii="宋体" w:hAnsi="宋体"/>
                <w:sz w:val="24"/>
                <w:szCs w:val="24"/>
                <w:lang w:eastAsia="zh-CN"/>
              </w:rPr>
            </w:pPr>
            <w:r>
              <w:rPr>
                <w:rFonts w:hint="eastAsia" w:ascii="宋体" w:hAnsi="宋体"/>
                <w:sz w:val="24"/>
                <w:szCs w:val="24"/>
                <w:lang w:eastAsia="zh-CN"/>
              </w:rPr>
              <w:t>昆明理工大学附属中学教场校区</w:t>
            </w:r>
          </w:p>
        </w:tc>
      </w:tr>
    </w:tbl>
    <w:p>
      <w:pPr>
        <w:pStyle w:val="2"/>
        <w:rPr>
          <w:rFonts w:hint="default"/>
          <w:lang w:val="en-US" w:eastAsia="zh-CN"/>
        </w:rPr>
      </w:pPr>
    </w:p>
    <w:p>
      <w:pPr>
        <w:numPr>
          <w:ilvl w:val="0"/>
          <w:numId w:val="0"/>
        </w:numPr>
        <w:spacing w:line="360" w:lineRule="auto"/>
        <w:jc w:val="left"/>
        <w:rPr>
          <w:rFonts w:hint="eastAsia" w:ascii="Arial" w:hAnsi="Arial" w:eastAsia="宋体" w:cs="Arial"/>
          <w:i w:val="0"/>
          <w:color w:val="000000"/>
          <w:kern w:val="0"/>
          <w:sz w:val="24"/>
          <w:szCs w:val="24"/>
          <w:u w:val="none"/>
          <w:lang w:val="en-US" w:eastAsia="zh-CN" w:bidi="ar"/>
        </w:rPr>
      </w:pPr>
      <w:r>
        <w:rPr>
          <w:rFonts w:hint="eastAsia" w:asciiTheme="minorEastAsia" w:hAnsiTheme="minorEastAsia"/>
          <w:sz w:val="24"/>
          <w:szCs w:val="24"/>
          <w:lang w:val="en-US" w:eastAsia="zh-CN"/>
        </w:rPr>
        <w:t>（二）供货商于开标当日必须带上样品前来应标。若确定为本次床垫供货商，则样品留作供货标准。</w:t>
      </w:r>
    </w:p>
    <w:p>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该</w:t>
      </w:r>
      <w:r>
        <w:rPr>
          <w:rFonts w:hint="eastAsia" w:asciiTheme="minorEastAsia" w:hAnsiTheme="minorEastAsia" w:cstheme="minorEastAsia"/>
          <w:b w:val="0"/>
          <w:bCs w:val="0"/>
          <w:color w:val="000000" w:themeColor="text1"/>
          <w:kern w:val="2"/>
          <w:sz w:val="24"/>
          <w:szCs w:val="24"/>
          <w:lang w:val="en-US" w:eastAsia="zh-CN" w:bidi="ar-SA"/>
          <w14:textFill>
            <w14:solidFill>
              <w14:schemeClr w14:val="tx1"/>
            </w14:solidFill>
          </w14:textFill>
        </w:rPr>
        <w:t>批床垫的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最短</w:t>
      </w:r>
      <w:r>
        <w:rPr>
          <w:rFonts w:hint="eastAsia" w:asciiTheme="minorEastAsia" w:hAnsiTheme="minorEastAsia" w:cstheme="minorEastAsia"/>
          <w:color w:val="000000" w:themeColor="text1"/>
          <w:sz w:val="24"/>
          <w:szCs w:val="24"/>
          <w:lang w:val="en-US" w:eastAsia="zh-CN"/>
          <w14:textFill>
            <w14:solidFill>
              <w14:schemeClr w14:val="tx1"/>
            </w14:solidFill>
          </w14:textFill>
        </w:rPr>
        <w:t>供货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日历天；质保年限为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服务方承诺</w:t>
      </w:r>
      <w:r>
        <w:rPr>
          <w:rFonts w:hint="eastAsia" w:asciiTheme="minorEastAsia" w:hAnsiTheme="minorEastAsia" w:cstheme="minorEastAsia"/>
          <w:color w:val="000000" w:themeColor="text1"/>
          <w:sz w:val="24"/>
          <w:szCs w:val="24"/>
          <w:lang w:val="en-US" w:eastAsia="zh-CN"/>
          <w14:textFill>
            <w14:solidFill>
              <w14:schemeClr w14:val="tx1"/>
            </w14:solidFill>
          </w14:textFill>
        </w:rPr>
        <w:t>质保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使用期间，</w:t>
      </w:r>
      <w:bookmarkStart w:id="0" w:name="_Toc8123093"/>
      <w:r>
        <w:rPr>
          <w:rFonts w:hint="eastAsia" w:asciiTheme="minorEastAsia" w:hAnsiTheme="minorEastAsia" w:cstheme="minorEastAsia"/>
          <w:color w:val="000000" w:themeColor="text1"/>
          <w:sz w:val="24"/>
          <w:szCs w:val="24"/>
          <w:lang w:val="en-US" w:eastAsia="zh-CN"/>
          <w14:textFill>
            <w14:solidFill>
              <w14:schemeClr w14:val="tx1"/>
            </w14:solidFill>
          </w14:textFill>
        </w:rPr>
        <w:t>床垫如有损坏免费更换</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bookmarkEnd w:id="0"/>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（五）若已过质保期或人为损坏，按最终报价进行购买。</w:t>
      </w:r>
    </w:p>
    <w:p>
      <w:pPr>
        <w:pStyle w:val="2"/>
        <w:jc w:val="both"/>
        <w:rPr>
          <w:rFonts w:hint="eastAsia"/>
          <w:color w:val="000000" w:themeColor="text1"/>
          <w:sz w:val="24"/>
          <w:szCs w:val="24"/>
          <w:lang w:val="en-US" w:eastAsia="zh-CN"/>
          <w14:textFill>
            <w14:solidFill>
              <w14:schemeClr w14:val="tx1"/>
            </w14:solidFill>
          </w14:textFill>
        </w:rPr>
      </w:pPr>
      <w:r>
        <w:rPr>
          <w:rFonts w:hint="eastAsia" w:cstheme="minorBidi"/>
          <w:b w:val="0"/>
          <w:bCs w:val="0"/>
          <w:color w:val="000000" w:themeColor="text1"/>
          <w:kern w:val="2"/>
          <w:sz w:val="24"/>
          <w:szCs w:val="24"/>
          <w:lang w:val="en-US" w:eastAsia="zh-CN" w:bidi="ar-SA"/>
          <w14:textFill>
            <w14:solidFill>
              <w14:schemeClr w14:val="tx1"/>
            </w14:solidFill>
          </w14:textFill>
        </w:rPr>
        <w:t>二、</w:t>
      </w:r>
      <w:r>
        <w:rPr>
          <w:rFonts w:hint="eastAsia"/>
          <w:color w:val="000000" w:themeColor="text1"/>
          <w:sz w:val="24"/>
          <w:szCs w:val="24"/>
          <w:lang w:val="en-US" w:eastAsia="zh-CN"/>
          <w14:textFill>
            <w14:solidFill>
              <w14:schemeClr w14:val="tx1"/>
            </w14:solidFill>
          </w14:textFill>
        </w:rPr>
        <w:t>评审办法说明</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本办法采用综合评估打分法，评标时应先评技术标后评商务标，对通过资格评审的磋商响应文件的技术、商务部分分别按照百分制打分方法打分后，再按下列公式计算出各供应商的综合得分。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Z＝S＋J</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Z：指供应商的最后得分；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S：指供应商的商务部分得分；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J：指供应商的技术部分得分。</w:t>
      </w:r>
    </w:p>
    <w:p>
      <w:pPr>
        <w:pStyle w:val="2"/>
        <w:numPr>
          <w:ilvl w:val="0"/>
          <w:numId w:val="1"/>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服务及货物报价即商务S得分（60分）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1、本次竞争性磋商允许二次报价。供应商的二次报价即为最终报价。商务部分评审以供应商二次报价为准。</w:t>
      </w:r>
    </w:p>
    <w:p>
      <w:pPr>
        <w:shd w:val="clear" w:color="auto" w:fill="FFFFFF"/>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2、综合评分法中的价格分统一采用低价优先法计算，即满足竞争性磋商文件要求且最后报价最低的供应商的价格为磋商基准价，其价格分为满分。其他供应商的价格分统一按照下列公式计算：</w:t>
      </w:r>
    </w:p>
    <w:p>
      <w:pPr>
        <w:widowControl/>
        <w:shd w:val="clear" w:color="auto" w:fill="FFFFFF"/>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磋商报价得分=（磋商基准价/最后磋商报价）×</w:t>
      </w: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0</w:t>
      </w:r>
    </w:p>
    <w:p>
      <w:pPr>
        <w:pStyle w:val="2"/>
        <w:numPr>
          <w:ilvl w:val="0"/>
          <w:numId w:val="1"/>
        </w:numPr>
        <w:ind w:left="0" w:leftChars="0" w:firstLine="0" w:firstLineChars="0"/>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技术J得分（40分）</w:t>
      </w:r>
    </w:p>
    <w:p>
      <w:pPr>
        <w:pStyle w:val="2"/>
        <w:numPr>
          <w:ilvl w:val="0"/>
          <w:numId w:val="0"/>
        </w:numPr>
        <w:jc w:val="both"/>
        <w:rPr>
          <w:rFonts w:hint="eastAsia"/>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1、产品品牌参数及样品（20分）</w:t>
      </w:r>
    </w:p>
    <w:p>
      <w:pPr>
        <w:pStyle w:val="2"/>
        <w:numPr>
          <w:ilvl w:val="0"/>
          <w:numId w:val="2"/>
        </w:numPr>
        <w:jc w:val="both"/>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产品品牌好，参数完全满足文件要求，有出产报告和质检报告，样品整体评价高，</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p>
      <w:pPr>
        <w:pStyle w:val="2"/>
        <w:numPr>
          <w:ilvl w:val="0"/>
          <w:numId w:val="2"/>
        </w:numPr>
        <w:jc w:val="both"/>
        <w:rPr>
          <w:rFonts w:hint="eastAsia" w:ascii="宋体" w:hAnsi="宋体"/>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产品品牌一般，参数满足文件要求，有出产报告和质检报告，样品整体评价可以，</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分；</w:t>
      </w:r>
    </w:p>
    <w:p>
      <w:pPr>
        <w:pStyle w:val="2"/>
        <w:numPr>
          <w:ilvl w:val="0"/>
          <w:numId w:val="2"/>
        </w:numPr>
        <w:jc w:val="both"/>
        <w:rPr>
          <w:rFonts w:hint="eastAsia" w:ascii="宋体" w:hAnsi="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产品品牌市场知名度较低，参数规格基本满足要求，无出产报告和质检报告，样品整体评价差，</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p>
      <w:pPr>
        <w:pStyle w:val="2"/>
        <w:numPr>
          <w:ilvl w:val="0"/>
          <w:numId w:val="3"/>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供货方案的合理性和可行性（10分）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供货</w:t>
      </w:r>
      <w:r>
        <w:rPr>
          <w:rFonts w:hint="eastAsia" w:ascii="宋体" w:hAnsi="宋体"/>
          <w:color w:val="000000" w:themeColor="text1"/>
          <w:sz w:val="24"/>
          <w:szCs w:val="24"/>
          <w:lang w:eastAsia="zh-CN"/>
          <w14:textFill>
            <w14:solidFill>
              <w14:schemeClr w14:val="tx1"/>
            </w14:solidFill>
          </w14:textFill>
        </w:rPr>
        <w:t>方案清晰完整，</w:t>
      </w:r>
      <w:r>
        <w:rPr>
          <w:rFonts w:hint="eastAsia" w:ascii="宋体" w:hAnsi="宋体"/>
          <w:color w:val="000000" w:themeColor="text1"/>
          <w:sz w:val="24"/>
          <w:szCs w:val="24"/>
          <w14:textFill>
            <w14:solidFill>
              <w14:schemeClr w14:val="tx1"/>
            </w14:solidFill>
          </w14:textFill>
        </w:rPr>
        <w:t>针对性较强</w:t>
      </w:r>
      <w:r>
        <w:rPr>
          <w:rFonts w:hint="eastAsia" w:ascii="宋体" w:hAnsi="宋体"/>
          <w:color w:val="000000" w:themeColor="text1"/>
          <w:sz w:val="24"/>
          <w:szCs w:val="24"/>
          <w:lang w:eastAsia="zh-CN"/>
          <w14:textFill>
            <w14:solidFill>
              <w14:schemeClr w14:val="tx1"/>
            </w14:solidFill>
          </w14:textFill>
        </w:rPr>
        <w:t>，服务措施、手段齐全，进度及时间安排合理，人员配置得当，文件编制规范整洁，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供货</w:t>
      </w:r>
      <w:r>
        <w:rPr>
          <w:rFonts w:hint="eastAsia" w:ascii="宋体" w:hAnsi="宋体"/>
          <w:color w:val="000000" w:themeColor="text1"/>
          <w:sz w:val="24"/>
          <w:szCs w:val="24"/>
          <w:lang w:eastAsia="zh-CN"/>
          <w14:textFill>
            <w14:solidFill>
              <w14:schemeClr w14:val="tx1"/>
            </w14:solidFill>
          </w14:textFill>
        </w:rPr>
        <w:t>方案比较清晰完整，有</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，服务措施、手段基本齐全，进度及时间安排较合理，人员配置较得当，文件编制较规范整洁，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供货</w:t>
      </w:r>
      <w:r>
        <w:rPr>
          <w:rFonts w:hint="eastAsia" w:ascii="宋体" w:hAnsi="宋体"/>
          <w:color w:val="000000" w:themeColor="text1"/>
          <w:sz w:val="24"/>
          <w:szCs w:val="24"/>
          <w:lang w:eastAsia="zh-CN"/>
          <w14:textFill>
            <w14:solidFill>
              <w14:schemeClr w14:val="tx1"/>
            </w14:solidFill>
          </w14:textFill>
        </w:rPr>
        <w:t>方案不够清晰完整，</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不够，服务措施、手段不齐全，进度及时间安排有不足，人员配置不够，文件编制不符合规范整洁要求，</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供货</w:t>
      </w:r>
      <w:r>
        <w:rPr>
          <w:rFonts w:hint="eastAsia" w:ascii="宋体" w:hAnsi="宋体"/>
          <w:color w:val="000000" w:themeColor="text1"/>
          <w:sz w:val="24"/>
          <w:szCs w:val="24"/>
          <w:lang w:eastAsia="zh-CN"/>
          <w14:textFill>
            <w14:solidFill>
              <w14:schemeClr w14:val="tx1"/>
            </w14:solidFill>
          </w14:textFill>
        </w:rPr>
        <w:t>方案不完整，无针对性，服务措施、手段不齐全，进度及时间安排不合理，人员配置不当，文件编制不规范，得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3、售后服务及承诺（</w:t>
      </w:r>
      <w:r>
        <w:rPr>
          <w:rFonts w:hint="eastAsia"/>
          <w:b/>
          <w:bCs/>
          <w:color w:val="000000" w:themeColor="text1"/>
          <w:sz w:val="24"/>
          <w:szCs w:val="24"/>
          <w:lang w:val="en-US" w:eastAsia="zh-CN"/>
          <w14:textFill>
            <w14:solidFill>
              <w14:schemeClr w14:val="tx1"/>
            </w14:solidFill>
          </w14:textFill>
        </w:rPr>
        <w:t>7分</w:t>
      </w:r>
      <w:r>
        <w:rPr>
          <w:rFonts w:hint="eastAsia" w:ascii="宋体" w:hAnsi="宋体"/>
          <w:color w:val="000000" w:themeColor="text1"/>
          <w:sz w:val="24"/>
          <w:szCs w:val="24"/>
          <w:lang w:val="en-US" w:eastAsia="zh-CN"/>
          <w14:textFill>
            <w14:solidFill>
              <w14:schemeClr w14:val="tx1"/>
            </w14:solidFill>
          </w14:textFill>
        </w:rPr>
        <w:t>）</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（1）售后服务承诺及保障措施完善具体，针对性强；措施全面、合理、可行的得5-7分；</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(2)售后服务承诺及保障措施具体可行，针对性较强；措施基本合理、可行的得2-4分；</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(3)售后服务承诺及保障措施基本可行，但缺乏针对性；措施基本合理、可行的得1-2分。</w:t>
      </w:r>
    </w:p>
    <w:p>
      <w:pPr>
        <w:pStyle w:val="5"/>
        <w:numPr>
          <w:ilvl w:val="0"/>
          <w:numId w:val="0"/>
        </w:numPr>
        <w:spacing w:line="480" w:lineRule="exact"/>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 xml:space="preserve">(4)无售后服务承诺及保障措施的得0分。 </w:t>
      </w:r>
    </w:p>
    <w:p>
      <w:pPr>
        <w:pStyle w:val="2"/>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4、相关案例和合同（3分）</w:t>
      </w:r>
    </w:p>
    <w:p>
      <w:pPr>
        <w:pStyle w:val="5"/>
        <w:spacing w:line="480" w:lineRule="exact"/>
        <w:ind w:left="0" w:leftChars="0"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满足资格条件的类似项目业绩得基本分</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分，每增加一项类似项目业绩加</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分，加满为止。</w:t>
      </w:r>
      <w:r>
        <w:rPr>
          <w:rFonts w:hint="eastAsia" w:ascii="宋体" w:hAnsi="宋体"/>
          <w:color w:val="000000" w:themeColor="text1"/>
          <w:sz w:val="24"/>
          <w:szCs w:val="24"/>
          <w:lang w:eastAsia="zh-CN"/>
          <w14:textFill>
            <w14:solidFill>
              <w14:schemeClr w14:val="tx1"/>
            </w14:solidFill>
          </w14:textFill>
        </w:rPr>
        <w:t>合同以盖章签字和配中标通知书为准。</w:t>
      </w:r>
    </w:p>
    <w:p>
      <w:pPr>
        <w:pStyle w:val="2"/>
        <w:jc w:val="both"/>
        <w:rPr>
          <w:rFonts w:hint="eastAsia"/>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widowControl/>
        <w:spacing w:before="100" w:beforeAutospacing="1" w:after="100" w:afterAutospacing="1" w:line="440" w:lineRule="exact"/>
        <w:jc w:val="center"/>
        <w:rPr>
          <w:rFonts w:hint="eastAsia" w:ascii="宋体" w:hAnsi="宋体"/>
          <w:color w:val="000000" w:themeColor="text1"/>
          <w:sz w:val="24"/>
          <w:szCs w:val="24"/>
          <w:lang w:val="en-US" w:eastAsia="zh-CN"/>
          <w14:textFill>
            <w14:solidFill>
              <w14:schemeClr w14:val="tx1"/>
            </w14:solidFill>
          </w14:textFill>
        </w:rPr>
      </w:pPr>
    </w:p>
    <w:p>
      <w:pPr>
        <w:pStyle w:val="2"/>
        <w:jc w:val="both"/>
        <w:rPr>
          <w:rFonts w:hint="eastAsia"/>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BAAF9"/>
    <w:multiLevelType w:val="singleLevel"/>
    <w:tmpl w:val="B76BAAF9"/>
    <w:lvl w:ilvl="0" w:tentative="0">
      <w:start w:val="1"/>
      <w:numFmt w:val="decimal"/>
      <w:suff w:val="nothing"/>
      <w:lvlText w:val="（%1）"/>
      <w:lvlJc w:val="left"/>
    </w:lvl>
  </w:abstractNum>
  <w:abstractNum w:abstractNumId="1">
    <w:nsid w:val="1447F93D"/>
    <w:multiLevelType w:val="singleLevel"/>
    <w:tmpl w:val="1447F93D"/>
    <w:lvl w:ilvl="0" w:tentative="0">
      <w:start w:val="2"/>
      <w:numFmt w:val="decimal"/>
      <w:suff w:val="nothing"/>
      <w:lvlText w:val="%1、"/>
      <w:lvlJc w:val="left"/>
    </w:lvl>
  </w:abstractNum>
  <w:abstractNum w:abstractNumId="2">
    <w:nsid w:val="7B39953A"/>
    <w:multiLevelType w:val="singleLevel"/>
    <w:tmpl w:val="7B39953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8"/>
    <w:rsid w:val="000305DE"/>
    <w:rsid w:val="00035BAD"/>
    <w:rsid w:val="000E3FD8"/>
    <w:rsid w:val="001C5C90"/>
    <w:rsid w:val="00313316"/>
    <w:rsid w:val="004D7E05"/>
    <w:rsid w:val="00684922"/>
    <w:rsid w:val="00785823"/>
    <w:rsid w:val="00887938"/>
    <w:rsid w:val="00BA297E"/>
    <w:rsid w:val="00CB6AA0"/>
    <w:rsid w:val="00ED2A8B"/>
    <w:rsid w:val="0E414970"/>
    <w:rsid w:val="0FD10D54"/>
    <w:rsid w:val="12DD14D4"/>
    <w:rsid w:val="17C8049C"/>
    <w:rsid w:val="1F9C1D52"/>
    <w:rsid w:val="234A2711"/>
    <w:rsid w:val="28DB7ADB"/>
    <w:rsid w:val="2ABA0EB3"/>
    <w:rsid w:val="2C411543"/>
    <w:rsid w:val="32FF18F6"/>
    <w:rsid w:val="34E76A1F"/>
    <w:rsid w:val="352126E8"/>
    <w:rsid w:val="36376B29"/>
    <w:rsid w:val="3A1D26AE"/>
    <w:rsid w:val="3A492D20"/>
    <w:rsid w:val="3D0E6C21"/>
    <w:rsid w:val="3EA05CA8"/>
    <w:rsid w:val="3EB67BD4"/>
    <w:rsid w:val="493F1D65"/>
    <w:rsid w:val="4BDA27BE"/>
    <w:rsid w:val="4C91436D"/>
    <w:rsid w:val="4EFF1952"/>
    <w:rsid w:val="4FF3355F"/>
    <w:rsid w:val="51CA2296"/>
    <w:rsid w:val="56A41936"/>
    <w:rsid w:val="579C49E3"/>
    <w:rsid w:val="5BCF3DFA"/>
    <w:rsid w:val="5C1827FD"/>
    <w:rsid w:val="64C57F67"/>
    <w:rsid w:val="64DF7231"/>
    <w:rsid w:val="669A159D"/>
    <w:rsid w:val="700F043E"/>
    <w:rsid w:val="77F1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color w:val="auto"/>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5">
    <w:name w:val="Body Text Indent"/>
    <w:basedOn w:val="1"/>
    <w:unhideWhenUsed/>
    <w:qFormat/>
    <w:uiPriority w:val="0"/>
    <w:pPr>
      <w:spacing w:line="460" w:lineRule="exact"/>
      <w:ind w:firstLine="51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Words>
  <Characters>827</Characters>
  <Lines>6</Lines>
  <Paragraphs>1</Paragraphs>
  <TotalTime>15</TotalTime>
  <ScaleCrop>false</ScaleCrop>
  <LinksUpToDate>false</LinksUpToDate>
  <CharactersWithSpaces>970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2017-10-25T01:07:00Z</dcterms:created>
  <dc:creator>杨天武</dc:creator>
  <cp:lastModifiedBy>Z·X</cp:lastModifiedBy>
  <cp:lastPrinted>2020-08-06T09:11:00Z</cp:lastPrinted>
  <dcterms:modified xsi:type="dcterms:W3CDTF">2020-08-07T08:39:58Z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