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cs="Arial"/>
          <w:kern w:val="0"/>
          <w:sz w:val="24"/>
          <w:szCs w:val="24"/>
        </w:rPr>
      </w:pPr>
      <w:r>
        <w:rPr>
          <w:rFonts w:hint="eastAsia" w:ascii="宋体" w:hAnsi="宋体" w:eastAsia="宋体" w:cs="Arial"/>
          <w:kern w:val="0"/>
          <w:sz w:val="24"/>
          <w:szCs w:val="24"/>
        </w:rPr>
        <w:t xml:space="preserve">附件1：        </w:t>
      </w:r>
    </w:p>
    <w:p>
      <w:pPr>
        <w:jc w:val="center"/>
        <w:rPr>
          <w:rFonts w:ascii="黑体" w:hAnsi="黑体" w:eastAsia="黑体"/>
          <w:sz w:val="32"/>
          <w:szCs w:val="32"/>
        </w:rPr>
      </w:pPr>
      <w:r>
        <w:rPr>
          <w:rFonts w:hint="eastAsia" w:ascii="黑体" w:hAnsi="黑体" w:eastAsia="黑体"/>
          <w:sz w:val="32"/>
          <w:szCs w:val="32"/>
        </w:rPr>
        <w:t>昆明理工教育发展有限公司2018kgfx002项目询价磋商文件</w:t>
      </w:r>
    </w:p>
    <w:p>
      <w:pPr>
        <w:pStyle w:val="9"/>
        <w:numPr>
          <w:ilvl w:val="0"/>
          <w:numId w:val="1"/>
        </w:numPr>
        <w:spacing w:line="360" w:lineRule="exact"/>
        <w:ind w:firstLineChars="0"/>
        <w:rPr>
          <w:rFonts w:ascii="黑体" w:hAnsi="黑体" w:eastAsia="黑体"/>
          <w:b/>
          <w:sz w:val="24"/>
          <w:szCs w:val="24"/>
        </w:rPr>
      </w:pPr>
      <w:r>
        <w:rPr>
          <w:rFonts w:hint="eastAsia" w:ascii="宋体" w:hAnsi="宋体" w:eastAsia="宋体"/>
          <w:b/>
          <w:sz w:val="24"/>
          <w:szCs w:val="24"/>
        </w:rPr>
        <w:t>项目</w:t>
      </w:r>
      <w:r>
        <w:rPr>
          <w:rFonts w:ascii="宋体" w:hAnsi="宋体" w:eastAsia="宋体"/>
          <w:b/>
          <w:sz w:val="24"/>
          <w:szCs w:val="24"/>
        </w:rPr>
        <w:t>概况</w:t>
      </w:r>
    </w:p>
    <w:p>
      <w:pPr>
        <w:spacing w:line="400" w:lineRule="exact"/>
        <w:rPr>
          <w:rFonts w:ascii="宋体" w:hAnsi="宋体"/>
          <w:sz w:val="24"/>
          <w:szCs w:val="24"/>
        </w:rPr>
      </w:pPr>
      <w:r>
        <w:rPr>
          <w:rFonts w:hint="eastAsia" w:ascii="宋体" w:hAnsi="宋体" w:eastAsia="宋体"/>
          <w:bCs/>
          <w:sz w:val="24"/>
          <w:szCs w:val="24"/>
        </w:rPr>
        <w:t>1.</w:t>
      </w:r>
      <w:r>
        <w:rPr>
          <w:rFonts w:hint="eastAsia" w:ascii="宋体" w:hAnsi="宋体"/>
          <w:sz w:val="24"/>
          <w:szCs w:val="24"/>
        </w:rPr>
        <w:t>项目名称：昆明理工大学附属小学彩色LED屏采购询价项目</w:t>
      </w:r>
    </w:p>
    <w:p>
      <w:pPr>
        <w:spacing w:line="400" w:lineRule="exact"/>
        <w:rPr>
          <w:rFonts w:ascii="Arial" w:hAnsi="Arial" w:cs="Arial"/>
          <w:sz w:val="24"/>
          <w:szCs w:val="24"/>
        </w:rPr>
      </w:pPr>
      <w:r>
        <w:rPr>
          <w:rFonts w:hint="eastAsia" w:ascii="宋体" w:hAnsi="宋体"/>
          <w:sz w:val="24"/>
          <w:szCs w:val="24"/>
        </w:rPr>
        <w:t>2.项目编号：</w:t>
      </w:r>
      <w:r>
        <w:rPr>
          <w:rFonts w:hint="eastAsia" w:ascii="Arial" w:hAnsi="Arial" w:cs="Arial"/>
          <w:sz w:val="24"/>
          <w:szCs w:val="24"/>
        </w:rPr>
        <w:t>2018kgfx002</w:t>
      </w:r>
    </w:p>
    <w:p>
      <w:pPr>
        <w:spacing w:line="400" w:lineRule="exact"/>
        <w:rPr>
          <w:rFonts w:ascii="宋体" w:hAnsi="宋体"/>
          <w:sz w:val="24"/>
          <w:szCs w:val="24"/>
        </w:rPr>
      </w:pPr>
      <w:r>
        <w:rPr>
          <w:rFonts w:hint="eastAsia" w:ascii="Arial" w:hAnsi="Arial" w:cs="Arial"/>
          <w:sz w:val="24"/>
          <w:szCs w:val="24"/>
        </w:rPr>
        <w:t>3.</w:t>
      </w:r>
      <w:r>
        <w:rPr>
          <w:rFonts w:hint="eastAsia" w:ascii="宋体" w:hAnsi="宋体"/>
          <w:sz w:val="24"/>
          <w:szCs w:val="24"/>
        </w:rPr>
        <w:t>交货期：供应商自报最短交货期。</w:t>
      </w:r>
    </w:p>
    <w:p>
      <w:pPr>
        <w:spacing w:line="400" w:lineRule="exact"/>
        <w:rPr>
          <w:rFonts w:ascii="宋体" w:hAnsi="宋体"/>
          <w:sz w:val="24"/>
          <w:szCs w:val="24"/>
        </w:rPr>
      </w:pPr>
      <w:r>
        <w:rPr>
          <w:rFonts w:hint="eastAsia" w:ascii="宋体" w:hAnsi="宋体"/>
          <w:sz w:val="24"/>
          <w:szCs w:val="24"/>
        </w:rPr>
        <w:t>4.交货地点：采购人指定地点。</w:t>
      </w:r>
    </w:p>
    <w:p>
      <w:pPr>
        <w:spacing w:line="400" w:lineRule="exact"/>
        <w:rPr>
          <w:rFonts w:ascii="宋体" w:hAnsi="宋体"/>
          <w:sz w:val="24"/>
          <w:szCs w:val="24"/>
        </w:rPr>
      </w:pPr>
      <w:r>
        <w:rPr>
          <w:rFonts w:hint="eastAsia" w:ascii="宋体" w:hAnsi="宋体"/>
          <w:sz w:val="24"/>
          <w:szCs w:val="24"/>
        </w:rPr>
        <w:t>5.资金来源：已落实。</w:t>
      </w:r>
    </w:p>
    <w:p>
      <w:pPr>
        <w:spacing w:line="400" w:lineRule="exact"/>
        <w:rPr>
          <w:rFonts w:ascii="宋体" w:hAnsi="宋体"/>
          <w:sz w:val="24"/>
          <w:szCs w:val="24"/>
        </w:rPr>
      </w:pPr>
      <w:r>
        <w:rPr>
          <w:rFonts w:hint="eastAsia" w:ascii="宋体" w:hAnsi="宋体"/>
          <w:sz w:val="24"/>
          <w:szCs w:val="24"/>
        </w:rPr>
        <w:t>6.采购预算：玖万玖仟元整（￥99000.00元）。</w:t>
      </w:r>
    </w:p>
    <w:p>
      <w:pPr>
        <w:spacing w:line="480" w:lineRule="auto"/>
        <w:rPr>
          <w:rFonts w:ascii="宋体" w:hAnsi="宋体"/>
          <w:sz w:val="24"/>
          <w:szCs w:val="24"/>
        </w:rPr>
      </w:pPr>
      <w:r>
        <w:rPr>
          <w:rFonts w:hint="eastAsia" w:ascii="宋体" w:hAnsi="宋体"/>
          <w:sz w:val="24"/>
          <w:szCs w:val="24"/>
        </w:rPr>
        <w:t>7.公告的媒体:本项目询价公告在《昆明理工大学校园网》（www.kmust.edu.cn）和《昆明理工教育发展有限公司网》（www.jyfz.kmust.edu.cn）上发布。</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采购内容</w:t>
      </w:r>
    </w:p>
    <w:p>
      <w:pPr>
        <w:spacing w:line="400" w:lineRule="exact"/>
        <w:rPr>
          <w:rFonts w:ascii="宋体" w:hAnsi="宋体"/>
          <w:sz w:val="24"/>
          <w:szCs w:val="24"/>
        </w:rPr>
      </w:pPr>
      <w:r>
        <w:rPr>
          <w:rFonts w:hint="eastAsia" w:ascii="宋体" w:hAnsi="宋体" w:eastAsia="黑体"/>
          <w:sz w:val="24"/>
          <w:szCs w:val="24"/>
        </w:rPr>
        <w:t>1.</w:t>
      </w:r>
      <w:bookmarkStart w:id="0" w:name="_Toc491424396"/>
      <w:r>
        <w:rPr>
          <w:rFonts w:hint="eastAsia" w:ascii="宋体" w:hAnsi="宋体"/>
          <w:sz w:val="24"/>
          <w:szCs w:val="24"/>
        </w:rPr>
        <w:t>昆明理工大学附属小学彩色LED屏采购询价项目的物品规格和具体参数见表1.1。</w:t>
      </w:r>
    </w:p>
    <w:p>
      <w:pPr>
        <w:spacing w:line="400" w:lineRule="exact"/>
        <w:jc w:val="center"/>
        <w:rPr>
          <w:rFonts w:ascii="宋体" w:hAnsi="宋体"/>
          <w:szCs w:val="21"/>
        </w:rPr>
      </w:pPr>
      <w:r>
        <w:rPr>
          <w:rFonts w:hint="eastAsia" w:ascii="宋体" w:hAnsi="宋体"/>
          <w:b/>
          <w:bCs/>
          <w:szCs w:val="21"/>
        </w:rPr>
        <w:t>表1.1昆明理工大学附属小学彩色LED屏采购项目技术规格表</w:t>
      </w:r>
      <w:bookmarkEnd w:id="0"/>
    </w:p>
    <w:tbl>
      <w:tblPr>
        <w:tblStyle w:val="7"/>
        <w:tblW w:w="9781" w:type="dxa"/>
        <w:jc w:val="center"/>
        <w:tblInd w:w="-998" w:type="dxa"/>
        <w:tblLayout w:type="fixed"/>
        <w:tblCellMar>
          <w:top w:w="15" w:type="dxa"/>
          <w:left w:w="15" w:type="dxa"/>
          <w:bottom w:w="15" w:type="dxa"/>
          <w:right w:w="15" w:type="dxa"/>
        </w:tblCellMar>
      </w:tblPr>
      <w:tblGrid>
        <w:gridCol w:w="291"/>
        <w:gridCol w:w="800"/>
        <w:gridCol w:w="5800"/>
        <w:gridCol w:w="600"/>
        <w:gridCol w:w="573"/>
        <w:gridCol w:w="574"/>
        <w:gridCol w:w="546"/>
        <w:gridCol w:w="597"/>
      </w:tblGrid>
      <w:tr>
        <w:tblPrEx>
          <w:tblLayout w:type="fixed"/>
          <w:tblCellMar>
            <w:top w:w="15" w:type="dxa"/>
            <w:left w:w="15" w:type="dxa"/>
            <w:bottom w:w="15" w:type="dxa"/>
            <w:right w:w="15" w:type="dxa"/>
          </w:tblCellMar>
        </w:tblPrEx>
        <w:trPr>
          <w:trHeight w:val="720"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sz w:val="18"/>
                <w:szCs w:val="18"/>
              </w:rPr>
            </w:pPr>
            <w:r>
              <w:rPr>
                <w:rFonts w:hint="eastAsia" w:ascii="宋体" w:hAnsi="宋体" w:eastAsia="宋体" w:cs="宋体"/>
                <w:b/>
                <w:kern w:val="0"/>
                <w:sz w:val="18"/>
                <w:szCs w:val="18"/>
              </w:rPr>
              <w:t>序号</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产品（项目）名称</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规格（技术参数、性能要求）</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（每行最多1000个汉字）</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数量</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计量</w:t>
            </w:r>
            <w:r>
              <w:rPr>
                <w:rFonts w:hint="eastAsia" w:ascii="宋体" w:hAnsi="宋体" w:eastAsia="宋体" w:cs="宋体"/>
                <w:b/>
                <w:kern w:val="0"/>
                <w:sz w:val="18"/>
                <w:szCs w:val="18"/>
              </w:rPr>
              <w:br w:type="textWrapping"/>
            </w:r>
            <w:r>
              <w:rPr>
                <w:rFonts w:hint="eastAsia" w:ascii="宋体" w:hAnsi="宋体" w:eastAsia="宋体" w:cs="宋体"/>
                <w:b/>
                <w:kern w:val="0"/>
                <w:sz w:val="18"/>
                <w:szCs w:val="18"/>
              </w:rPr>
              <w:t>单位</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品牌</w:t>
            </w: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单价</w:t>
            </w: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kern w:val="0"/>
                <w:sz w:val="18"/>
                <w:szCs w:val="18"/>
              </w:rPr>
            </w:pPr>
            <w:r>
              <w:rPr>
                <w:rFonts w:hint="eastAsia" w:ascii="宋体" w:hAnsi="宋体" w:eastAsia="宋体" w:cs="宋体"/>
                <w:b/>
                <w:kern w:val="0"/>
                <w:sz w:val="18"/>
                <w:szCs w:val="18"/>
              </w:rPr>
              <w:t>总价</w:t>
            </w:r>
          </w:p>
        </w:tc>
      </w:tr>
      <w:tr>
        <w:tblPrEx>
          <w:tblLayout w:type="fixed"/>
          <w:tblCellMar>
            <w:top w:w="15" w:type="dxa"/>
            <w:left w:w="15" w:type="dxa"/>
            <w:bottom w:w="15" w:type="dxa"/>
            <w:right w:w="15" w:type="dxa"/>
          </w:tblCellMar>
        </w:tblPrEx>
        <w:trPr>
          <w:trHeight w:val="968"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szCs w:val="21"/>
              </w:rPr>
              <w:t>户外P4全彩屏</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numPr>
                <w:ilvl w:val="0"/>
                <w:numId w:val="2"/>
              </w:numPr>
              <w:rPr>
                <w:rFonts w:ascii="Tahoma" w:hAnsi="Tahoma" w:cs="Tahoma"/>
                <w:szCs w:val="21"/>
                <w:shd w:val="clear" w:color="auto" w:fill="FFFFFF"/>
              </w:rPr>
            </w:pPr>
            <w:r>
              <w:rPr>
                <w:rFonts w:hint="eastAsia" w:ascii="Tahoma" w:hAnsi="Tahoma" w:cs="Tahoma"/>
                <w:szCs w:val="21"/>
                <w:shd w:val="clear" w:color="auto" w:fill="FFFFFF"/>
              </w:rPr>
              <w:t>像素点间距：4mm；2、物理密度：62500Dots/㎡；3、像素构成：1R1G1B；4、灯管封装：SMD2525。5、显示模块分辨率：长80点×高40点=3200Dots；6、显示模块尺寸：长320mm×高160mm×18.5mm；7、平整度（mm）：≤0.26</w:t>
            </w:r>
          </w:p>
          <w:p>
            <w:pPr>
              <w:rPr>
                <w:rFonts w:ascii="Tahoma" w:hAnsi="Tahoma" w:cs="Tahoma"/>
                <w:b/>
                <w:bCs/>
                <w:szCs w:val="21"/>
                <w:shd w:val="clear" w:color="auto" w:fill="FFFFFF"/>
              </w:rPr>
            </w:pPr>
            <w:r>
              <w:rPr>
                <w:rFonts w:hint="eastAsia" w:ascii="Tahoma" w:hAnsi="Tahoma" w:cs="Tahoma"/>
                <w:b/>
                <w:bCs/>
                <w:szCs w:val="21"/>
                <w:shd w:val="clear" w:color="auto" w:fill="FFFFFF"/>
              </w:rPr>
              <w:t>屏体技术参数</w:t>
            </w:r>
          </w:p>
          <w:p>
            <w:pPr>
              <w:rPr>
                <w:rFonts w:ascii="Tahoma" w:hAnsi="Tahoma" w:cs="Tahoma"/>
                <w:szCs w:val="21"/>
                <w:shd w:val="clear" w:color="auto" w:fill="FFFFFF"/>
              </w:rPr>
            </w:pPr>
            <w:r>
              <w:rPr>
                <w:rFonts w:hint="eastAsia" w:ascii="Tahoma" w:hAnsi="Tahoma" w:cs="Tahoma"/>
                <w:szCs w:val="21"/>
                <w:shd w:val="clear" w:color="auto" w:fill="FFFFFF"/>
              </w:rPr>
              <w:t>1、亮度：＞5700cd/㎡；2、亮度均匀性（白色）：≥1.5；3、屏幕水平视角：≥170°，屏幕垂直视角：≥125；4、防水指标：IP65（正面）；5、最佳视距：≥4m，使用环境：户外；6、工作电压：交流220V；7、最大功耗：＜778W/㎡；平均功耗（最大功耗的1/3）：＜ 260W/㎡；8、灰度等级：红、绿、蓝各14-16Bit，显示颜色：43980亿种；9、帧频：≥60帧/秒，刷新频率：≥3840Hz；10、控制方式：计算机控制，逐点一一对应视频同步，实时显示。11、亮度调节：256级手动/自动调节。12、使用寿命：≥10万小时，平均无故障时间：≥1万小时。13、衰减率（工作三年）≤15%，连续失控点：0；14、离散失控点：＜0.0001，出厂时为0；盲点率：＜0.0003，出厂时为0；15、工作温度：-20至40℃，工作湿度范围：10%至90%RH；16、防护性能：超温/过载/掉电/图像补偿/各种校正技术/过流/过压/防雷17、平整度：任意相邻像素间≤1mm；模组拼接间隙＜1mm；18、有效通讯距离：网线100m（无中继），多模光纤500m，单模光纤20km。</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9.574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平方</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939"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szCs w:val="21"/>
              </w:rPr>
              <w:t>户外P4全彩屏备用板</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tabs>
                <w:tab w:val="left" w:pos="986"/>
              </w:tabs>
              <w:ind w:left="-420" w:leftChars="-200"/>
              <w:rPr>
                <w:rFonts w:ascii="宋体" w:hAnsi="宋体" w:eastAsia="宋体" w:cs="宋体"/>
                <w:szCs w:val="21"/>
              </w:rPr>
            </w:pPr>
            <w:r>
              <w:rPr>
                <w:rFonts w:hint="eastAsia"/>
                <w:szCs w:val="21"/>
              </w:rPr>
              <w:t>（性性能参数同上</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8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szCs w:val="21"/>
              </w:rPr>
              <w:t>开关电源</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szCs w:val="21"/>
              </w:rPr>
            </w:pPr>
            <w:r>
              <w:rPr>
                <w:rFonts w:hint="eastAsia"/>
                <w:szCs w:val="21"/>
              </w:rPr>
              <w:t>可靠性高，带载能力强，高性价比。 保护功能：过载/短路保护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4</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3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控制系统软件</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支持10位颜色:1073741824种颜色; 智能连接功能;智能监控;支持异型分割显示:每块接收卡最大支持1024段分割，用于异型/文字屏。支持硬件逐点校正功能:需专用驱动芯片配合，使显示屏逐点校正效果更好。支持逐点检测功能:需专用驱动芯片配合，动态地检测显示屏瑕点情况。逐点校正、逐卡（箱体）校正功能:逐点校正支持单点、2×2点、4×4点和8×8点四种校正模式，最大校正6144点/模块，红绿蓝各256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11"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控制系统软件</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支持10位颜色:1073741824种颜色; 智能连接功能;智能监控;支持异型分割显示:每块接收卡最大支持1024段分割，用于异型/文字屏。支持硬件逐点校正功能:需专用驱动芯片配合，使显示屏逐点校正效果更好。支持逐点检测功能:需专用驱动芯片配合，动态地检测显示屏瑕点情况。逐点校正、逐卡（箱体）校正功能:逐点校正支持单点、2×2点、4×4点和8×8点四种校正模式，最大校正6144点/模块，红绿蓝各256级。</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419"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6</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发送卡</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一路 DVI 视频输入；一路音频输入；双网口输出；USB 接口控制，可级联多台进行统一控制；</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单张发送卡支持分辨率 1280×1024、1024×1200、1600×848、1920×712、2048×668；</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一路光探头接口；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张</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724"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kern w:val="0"/>
                <w:szCs w:val="21"/>
              </w:rPr>
              <w:t>7</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视频处理器</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color w:val="000000"/>
                <w:kern w:val="0"/>
                <w:szCs w:val="21"/>
              </w:rPr>
            </w:pPr>
            <w:r>
              <w:rPr>
                <w:rFonts w:hint="eastAsia" w:ascii="宋体" w:hAnsi="宋体" w:eastAsia="宋体" w:cs="宋体"/>
                <w:color w:val="000000"/>
                <w:kern w:val="0"/>
                <w:szCs w:val="21"/>
              </w:rPr>
              <w:t>支持拼接</w:t>
            </w:r>
            <w:r>
              <w:rPr>
                <w:rFonts w:hint="eastAsia" w:ascii="宋体" w:hAnsi="宋体" w:cs="宋体"/>
                <w:color w:val="000000"/>
                <w:kern w:val="0"/>
                <w:szCs w:val="21"/>
              </w:rPr>
              <w:t>及</w:t>
            </w:r>
            <w:r>
              <w:rPr>
                <w:rFonts w:hint="eastAsia" w:ascii="宋体" w:hAnsi="宋体" w:eastAsia="宋体" w:cs="宋体"/>
                <w:color w:val="000000"/>
                <w:kern w:val="0"/>
                <w:szCs w:val="21"/>
              </w:rPr>
              <w:t>画中画</w:t>
            </w:r>
          </w:p>
          <w:p>
            <w:pPr>
              <w:widowControl/>
              <w:textAlignment w:val="center"/>
              <w:rPr>
                <w:rFonts w:ascii="宋体" w:hAnsi="宋体" w:eastAsia="宋体" w:cs="宋体"/>
                <w:szCs w:val="21"/>
              </w:rPr>
            </w:pPr>
            <w:r>
              <w:rPr>
                <w:rFonts w:hint="eastAsia" w:ascii="宋体" w:hAnsi="宋体" w:eastAsia="宋体" w:cs="宋体"/>
                <w:color w:val="000000"/>
                <w:kern w:val="0"/>
                <w:szCs w:val="21"/>
              </w:rPr>
              <w:t xml:space="preserve">源切换特效 ： 一键切换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最大输出分辨率 ： 1280x1024、1440x900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 xml:space="preserve">带载能力 ： 130万像素 </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控制方式 ： USB、串口控制（RJ45 接口）</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台</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644"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钢结构</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定制：贴墙焊接钢架安装，屏体厚度80cm，每边包边10cm，含包边尺寸：长3.72米，高2.92米，面积10.86平米</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10.86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平方</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663"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szCs w:val="21"/>
              </w:rPr>
              <w:t>9</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音响系统</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szCs w:val="21"/>
              </w:rPr>
              <w:t>国产优质，含功放及两个音柱</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761"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配电柜</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15千瓦标准款</w:t>
            </w:r>
            <w:r>
              <w:rPr>
                <w:rFonts w:hint="eastAsia" w:ascii="宋体" w:hAnsi="宋体" w:eastAsia="宋体" w:cs="宋体"/>
                <w:color w:val="000000"/>
                <w:kern w:val="0"/>
                <w:szCs w:val="21"/>
              </w:rPr>
              <w:br w:type="textWrapping"/>
            </w:r>
            <w:r>
              <w:rPr>
                <w:rFonts w:hint="eastAsia" w:ascii="宋体" w:hAnsi="宋体" w:eastAsia="宋体" w:cs="宋体"/>
                <w:color w:val="000000"/>
                <w:kern w:val="0"/>
                <w:szCs w:val="21"/>
              </w:rPr>
              <w:t>功能：电源集中管理，过流/过压/过载保护。</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套</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62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11</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外部电缆</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外部强电线到配电柜国标电缆线</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卷</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84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内部线材</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国标电线、网线、线管等辅材</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批</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r>
        <w:tblPrEx>
          <w:tblLayout w:type="fixed"/>
          <w:tblCellMar>
            <w:top w:w="15" w:type="dxa"/>
            <w:left w:w="15" w:type="dxa"/>
            <w:bottom w:w="15" w:type="dxa"/>
            <w:right w:w="15" w:type="dxa"/>
          </w:tblCellMar>
        </w:tblPrEx>
        <w:trPr>
          <w:trHeight w:val="847" w:hRule="atLeast"/>
          <w:jc w:val="center"/>
        </w:trPr>
        <w:tc>
          <w:tcPr>
            <w:tcW w:w="2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Cs w:val="21"/>
              </w:rPr>
            </w:pPr>
            <w:r>
              <w:rPr>
                <w:rFonts w:hint="eastAsia" w:ascii="宋体" w:hAnsi="宋体" w:eastAsia="宋体" w:cs="宋体"/>
                <w:szCs w:val="21"/>
              </w:rPr>
              <w:t>13</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安装费</w:t>
            </w:r>
          </w:p>
        </w:tc>
        <w:tc>
          <w:tcPr>
            <w:tcW w:w="58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center"/>
              <w:rPr>
                <w:rFonts w:ascii="宋体" w:hAnsi="宋体" w:eastAsia="宋体" w:cs="宋体"/>
                <w:szCs w:val="21"/>
              </w:rPr>
            </w:pPr>
            <w:r>
              <w:rPr>
                <w:rFonts w:hint="eastAsia" w:ascii="宋体" w:hAnsi="宋体" w:eastAsia="宋体" w:cs="宋体"/>
                <w:color w:val="000000"/>
                <w:kern w:val="0"/>
                <w:szCs w:val="21"/>
              </w:rPr>
              <w:t>安装调试及人员培训 免费2年售后服务</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10.86</w:t>
            </w: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r>
              <w:rPr>
                <w:rFonts w:hint="eastAsia" w:ascii="宋体" w:hAnsi="宋体" w:eastAsia="宋体" w:cs="宋体"/>
                <w:color w:val="000000"/>
                <w:kern w:val="0"/>
                <w:szCs w:val="21"/>
              </w:rPr>
              <w:t>平方</w:t>
            </w:r>
          </w:p>
        </w:tc>
        <w:tc>
          <w:tcPr>
            <w:tcW w:w="57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4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c>
          <w:tcPr>
            <w:tcW w:w="59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szCs w:val="21"/>
              </w:rPr>
            </w:pPr>
          </w:p>
        </w:tc>
      </w:tr>
    </w:tbl>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质量保证</w:t>
      </w:r>
    </w:p>
    <w:p>
      <w:pPr>
        <w:pStyle w:val="9"/>
        <w:spacing w:line="400" w:lineRule="exact"/>
        <w:ind w:firstLine="0" w:firstLineChars="0"/>
        <w:rPr>
          <w:rFonts w:ascii="宋体" w:hAnsi="宋体"/>
          <w:sz w:val="24"/>
          <w:szCs w:val="24"/>
        </w:rPr>
      </w:pPr>
      <w:r>
        <w:rPr>
          <w:rFonts w:hint="eastAsia" w:ascii="宋体" w:hAnsi="宋体"/>
          <w:sz w:val="24"/>
          <w:szCs w:val="24"/>
        </w:rPr>
        <w:t>1.质保年限：本单位承诺对昆明理工大学附属小学彩色LED屏质保为</w:t>
      </w:r>
      <w:r>
        <w:rPr>
          <w:rFonts w:hint="eastAsia" w:ascii="宋体" w:hAnsi="宋体"/>
          <w:sz w:val="24"/>
          <w:szCs w:val="24"/>
          <w:u w:val="single"/>
        </w:rPr>
        <w:t xml:space="preserve">     </w:t>
      </w:r>
      <w:r>
        <w:rPr>
          <w:rFonts w:hint="eastAsia" w:ascii="宋体" w:hAnsi="宋体"/>
          <w:sz w:val="24"/>
          <w:szCs w:val="24"/>
        </w:rPr>
        <w:t>年。</w:t>
      </w:r>
    </w:p>
    <w:p>
      <w:pPr>
        <w:pStyle w:val="9"/>
        <w:spacing w:line="400" w:lineRule="exact"/>
        <w:ind w:firstLine="0" w:firstLineChars="0"/>
        <w:rPr>
          <w:rFonts w:ascii="宋体" w:hAnsi="宋体"/>
          <w:sz w:val="24"/>
          <w:szCs w:val="24"/>
        </w:rPr>
      </w:pPr>
      <w:r>
        <w:rPr>
          <w:rFonts w:hint="eastAsia" w:ascii="宋体" w:hAnsi="宋体"/>
          <w:sz w:val="24"/>
          <w:szCs w:val="24"/>
        </w:rPr>
        <w:t>2.本单位承诺对昆明理工大学附属小学彩色LED屏采购询价项目最短供货周期为</w:t>
      </w:r>
      <w:r>
        <w:rPr>
          <w:rFonts w:hint="eastAsia" w:ascii="宋体" w:hAnsi="宋体"/>
          <w:sz w:val="24"/>
          <w:szCs w:val="24"/>
          <w:u w:val="single"/>
        </w:rPr>
        <w:t xml:space="preserve">       </w:t>
      </w:r>
      <w:r>
        <w:rPr>
          <w:rFonts w:hint="eastAsia" w:ascii="宋体" w:hAnsi="宋体"/>
          <w:sz w:val="24"/>
          <w:szCs w:val="24"/>
        </w:rPr>
        <w:t>日历天。</w:t>
      </w:r>
    </w:p>
    <w:p>
      <w:pPr>
        <w:pStyle w:val="9"/>
        <w:spacing w:line="400" w:lineRule="exact"/>
        <w:ind w:firstLine="0" w:firstLineChars="0"/>
        <w:rPr>
          <w:rFonts w:ascii="宋体" w:hAnsi="宋体"/>
          <w:sz w:val="24"/>
          <w:szCs w:val="24"/>
        </w:rPr>
      </w:pPr>
      <w:r>
        <w:rPr>
          <w:rFonts w:hint="eastAsia" w:ascii="宋体" w:hAnsi="宋体"/>
          <w:sz w:val="24"/>
          <w:szCs w:val="24"/>
        </w:rPr>
        <w:t>3.本单位承诺昆明理工大学附属小学彩色LED屏采购询价项目相关软件和硬件拥有相关授权或是自主研发的，不存在知识侵权问题。若由此产生诉讼或纠纷，与采购方完全无关，由供货方全部负责。</w:t>
      </w:r>
    </w:p>
    <w:p>
      <w:pPr>
        <w:pStyle w:val="9"/>
        <w:numPr>
          <w:ilvl w:val="0"/>
          <w:numId w:val="1"/>
        </w:numPr>
        <w:spacing w:line="400" w:lineRule="exact"/>
        <w:ind w:firstLineChars="0"/>
        <w:rPr>
          <w:rFonts w:ascii="宋体" w:hAnsi="宋体" w:eastAsia="宋体"/>
          <w:b/>
          <w:sz w:val="24"/>
          <w:szCs w:val="24"/>
        </w:rPr>
      </w:pPr>
      <w:r>
        <w:rPr>
          <w:rFonts w:hint="eastAsia" w:ascii="宋体" w:hAnsi="宋体" w:eastAsia="宋体"/>
          <w:b/>
          <w:sz w:val="24"/>
          <w:szCs w:val="24"/>
        </w:rPr>
        <w:t>评标办法</w:t>
      </w:r>
    </w:p>
    <w:p>
      <w:pPr>
        <w:spacing w:line="360" w:lineRule="auto"/>
        <w:ind w:firstLine="480" w:firstLineChars="200"/>
        <w:jc w:val="left"/>
        <w:rPr>
          <w:rFonts w:hAnsi="宋体"/>
          <w:szCs w:val="21"/>
        </w:rPr>
      </w:pPr>
      <w:r>
        <w:rPr>
          <w:rFonts w:hint="eastAsia" w:ascii="宋体" w:hAnsi="宋体"/>
          <w:sz w:val="24"/>
          <w:szCs w:val="24"/>
        </w:rPr>
        <w:t>详细评审标准见表4.1评审前附表，评审得分=F1＋F2＋F3，采购人从评审报告提出的成交候选供应商中，按照排序由高到低的原则确定成交供应商。</w:t>
      </w:r>
    </w:p>
    <w:p>
      <w:pPr>
        <w:pStyle w:val="9"/>
        <w:spacing w:line="400" w:lineRule="exact"/>
        <w:ind w:firstLine="0" w:firstLineChars="0"/>
        <w:jc w:val="center"/>
        <w:rPr>
          <w:rFonts w:asciiTheme="minorEastAsia" w:hAnsiTheme="minorEastAsia"/>
          <w:sz w:val="24"/>
          <w:szCs w:val="24"/>
        </w:rPr>
      </w:pPr>
      <w:r>
        <w:rPr>
          <w:rFonts w:hint="eastAsia" w:hAnsi="宋体"/>
          <w:szCs w:val="21"/>
        </w:rPr>
        <w:t>4.1评审前附表</w:t>
      </w:r>
    </w:p>
    <w:tbl>
      <w:tblPr>
        <w:tblStyle w:val="7"/>
        <w:tblW w:w="8867" w:type="dxa"/>
        <w:jc w:val="center"/>
        <w:tblInd w:w="-8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jc w:val="center"/>
        </w:trPr>
        <w:tc>
          <w:tcPr>
            <w:tcW w:w="2507" w:type="dxa"/>
            <w:vAlign w:val="center"/>
          </w:tcPr>
          <w:p>
            <w:pPr>
              <w:spacing w:before="100" w:beforeAutospacing="1" w:after="100" w:afterAutospacing="1"/>
              <w:jc w:val="center"/>
              <w:rPr>
                <w:rFonts w:hAnsi="宋体"/>
                <w:b/>
                <w:szCs w:val="21"/>
              </w:rPr>
            </w:pPr>
            <w:r>
              <w:rPr>
                <w:rFonts w:hint="eastAsia" w:hAnsi="宋体"/>
                <w:b/>
                <w:szCs w:val="21"/>
              </w:rPr>
              <w:t>评 审 内 容</w:t>
            </w:r>
          </w:p>
        </w:tc>
        <w:tc>
          <w:tcPr>
            <w:tcW w:w="6360" w:type="dxa"/>
            <w:vAlign w:val="center"/>
          </w:tcPr>
          <w:p>
            <w:pPr>
              <w:spacing w:before="100" w:beforeAutospacing="1" w:after="100" w:afterAutospacing="1"/>
              <w:jc w:val="center"/>
              <w:rPr>
                <w:rFonts w:hAnsi="宋体"/>
                <w:b/>
                <w:szCs w:val="21"/>
              </w:rPr>
            </w:pPr>
            <w:r>
              <w:rPr>
                <w:rFonts w:hint="eastAsia" w:hAnsi="宋体"/>
                <w:b/>
                <w:szCs w:val="21"/>
              </w:rPr>
              <w:t>评 审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1）</w:t>
            </w:r>
            <w:r>
              <w:rPr>
                <w:rFonts w:hint="eastAsia" w:hAnsi="宋体"/>
                <w:szCs w:val="21"/>
              </w:rPr>
              <w:t>评审得分计算公式</w:t>
            </w:r>
          </w:p>
        </w:tc>
        <w:tc>
          <w:tcPr>
            <w:tcW w:w="6360" w:type="dxa"/>
            <w:vAlign w:val="center"/>
          </w:tcPr>
          <w:p>
            <w:pPr>
              <w:snapToGrid w:val="0"/>
              <w:rPr>
                <w:rFonts w:hAnsi="宋体"/>
                <w:szCs w:val="21"/>
              </w:rPr>
            </w:pPr>
            <w:r>
              <w:rPr>
                <w:rFonts w:hint="eastAsia" w:hAnsi="宋体"/>
                <w:szCs w:val="21"/>
              </w:rPr>
              <w:t>供应商</w:t>
            </w:r>
            <w:r>
              <w:rPr>
                <w:rFonts w:hAnsi="宋体"/>
                <w:szCs w:val="21"/>
              </w:rPr>
              <w:t>的</w:t>
            </w:r>
            <w:r>
              <w:rPr>
                <w:rFonts w:hint="eastAsia" w:hAnsi="宋体"/>
                <w:szCs w:val="21"/>
              </w:rPr>
              <w:t>评审得分满分100分，</w:t>
            </w:r>
          </w:p>
          <w:p>
            <w:pPr>
              <w:rPr>
                <w:rFonts w:hAnsi="宋体"/>
                <w:szCs w:val="21"/>
              </w:rPr>
            </w:pPr>
            <w:r>
              <w:rPr>
                <w:rFonts w:hint="eastAsia" w:hAnsi="宋体"/>
                <w:szCs w:val="21"/>
              </w:rPr>
              <w:t>供应商</w:t>
            </w:r>
            <w:r>
              <w:rPr>
                <w:rFonts w:hAnsi="宋体"/>
                <w:szCs w:val="21"/>
              </w:rPr>
              <w:t>的</w:t>
            </w:r>
            <w:r>
              <w:rPr>
                <w:rFonts w:hint="eastAsia" w:hAnsi="宋体"/>
                <w:szCs w:val="21"/>
              </w:rPr>
              <w:t>评审得分</w:t>
            </w:r>
            <w:r>
              <w:rPr>
                <w:rFonts w:hAnsi="宋体"/>
                <w:szCs w:val="21"/>
              </w:rPr>
              <w:t>＝</w:t>
            </w:r>
            <w:r>
              <w:rPr>
                <w:rFonts w:hint="eastAsia"/>
              </w:rPr>
              <w:t xml:space="preserve"> </w:t>
            </w:r>
            <w:r>
              <w:rPr>
                <w:rFonts w:hint="eastAsia" w:hAnsi="宋体"/>
              </w:rPr>
              <w:t>F1＋F2＋F3</w:t>
            </w:r>
          </w:p>
          <w:p>
            <w:pPr>
              <w:rPr>
                <w:rFonts w:hAnsi="宋体"/>
                <w:szCs w:val="21"/>
              </w:rPr>
            </w:pPr>
            <w:r>
              <w:rPr>
                <w:rFonts w:hAnsi="宋体"/>
                <w:szCs w:val="21"/>
              </w:rPr>
              <w:t>其中：F1、F2、F3分别为报价</w:t>
            </w:r>
            <w:r>
              <w:rPr>
                <w:rFonts w:hint="eastAsia" w:hAnsi="宋体"/>
                <w:szCs w:val="21"/>
              </w:rPr>
              <w:t>评分</w:t>
            </w:r>
            <w:r>
              <w:rPr>
                <w:rFonts w:hAnsi="宋体"/>
                <w:szCs w:val="21"/>
              </w:rPr>
              <w:t>、技术部分</w:t>
            </w:r>
            <w:r>
              <w:rPr>
                <w:rFonts w:hint="eastAsia" w:hAnsi="宋体"/>
                <w:szCs w:val="21"/>
              </w:rPr>
              <w:t>评分、商务</w:t>
            </w:r>
            <w:r>
              <w:rPr>
                <w:rFonts w:hAnsi="宋体"/>
                <w:szCs w:val="21"/>
              </w:rPr>
              <w:t>部分</w:t>
            </w:r>
            <w:r>
              <w:rPr>
                <w:rFonts w:hint="eastAsia" w:hAnsi="宋体"/>
                <w:szCs w:val="21"/>
              </w:rPr>
              <w:t>评分</w:t>
            </w:r>
            <w:r>
              <w:rPr>
                <w:rFonts w:hAnsi="宋体"/>
                <w:szCs w:val="21"/>
              </w:rPr>
              <w:t>3项评</w:t>
            </w:r>
            <w:r>
              <w:rPr>
                <w:rFonts w:hint="eastAsia" w:hAnsi="宋体"/>
                <w:szCs w:val="21"/>
              </w:rPr>
              <w:t>审</w:t>
            </w:r>
            <w:r>
              <w:rPr>
                <w:rFonts w:hAnsi="宋体"/>
                <w:szCs w:val="21"/>
              </w:rPr>
              <w:t>因素的汇总得分</w:t>
            </w:r>
            <w:r>
              <w:rPr>
                <w:rFonts w:hint="eastAsia"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snapToGrid w:val="0"/>
              <w:rPr>
                <w:rFonts w:hAnsi="宋体"/>
                <w:szCs w:val="21"/>
              </w:rPr>
            </w:pPr>
            <w:r>
              <w:rPr>
                <w:rFonts w:hint="eastAsia" w:hAnsi="宋体" w:cs="宋体"/>
                <w:szCs w:val="21"/>
              </w:rPr>
              <w:t>2）</w:t>
            </w:r>
            <w:r>
              <w:rPr>
                <w:rFonts w:hint="eastAsia" w:hAnsi="宋体"/>
                <w:szCs w:val="21"/>
              </w:rPr>
              <w:t>评审因素权重</w:t>
            </w:r>
          </w:p>
        </w:tc>
        <w:tc>
          <w:tcPr>
            <w:tcW w:w="6360" w:type="dxa"/>
            <w:vAlign w:val="center"/>
          </w:tcPr>
          <w:p>
            <w:pPr>
              <w:rPr>
                <w:rFonts w:hAnsi="宋体"/>
                <w:szCs w:val="21"/>
              </w:rPr>
            </w:pPr>
            <w:r>
              <w:rPr>
                <w:rFonts w:hAnsi="宋体"/>
                <w:szCs w:val="21"/>
              </w:rPr>
              <w:t>报价</w:t>
            </w:r>
            <w:r>
              <w:rPr>
                <w:rFonts w:hint="eastAsia" w:hAnsi="宋体"/>
                <w:szCs w:val="21"/>
              </w:rPr>
              <w:t>评分</w:t>
            </w:r>
            <w:r>
              <w:rPr>
                <w:rFonts w:hAnsi="宋体"/>
                <w:szCs w:val="21"/>
              </w:rPr>
              <w:t>F1</w:t>
            </w:r>
            <w:r>
              <w:rPr>
                <w:rFonts w:hint="eastAsia" w:hAnsi="宋体"/>
                <w:szCs w:val="21"/>
              </w:rPr>
              <w:t>满分70</w:t>
            </w:r>
            <w:r>
              <w:rPr>
                <w:rFonts w:hAnsi="宋体"/>
                <w:szCs w:val="21"/>
              </w:rPr>
              <w:t>分。</w:t>
            </w:r>
          </w:p>
          <w:p>
            <w:pPr>
              <w:rPr>
                <w:rFonts w:hAnsi="宋体"/>
                <w:szCs w:val="21"/>
              </w:rPr>
            </w:pPr>
            <w:r>
              <w:rPr>
                <w:rFonts w:hAnsi="宋体"/>
                <w:szCs w:val="21"/>
              </w:rPr>
              <w:t>技术部分</w:t>
            </w:r>
            <w:r>
              <w:rPr>
                <w:rFonts w:hint="eastAsia" w:hAnsi="宋体"/>
                <w:szCs w:val="21"/>
              </w:rPr>
              <w:t>评分</w:t>
            </w:r>
            <w:r>
              <w:rPr>
                <w:rFonts w:hAnsi="宋体"/>
                <w:szCs w:val="21"/>
              </w:rPr>
              <w:t>F</w:t>
            </w:r>
            <w:r>
              <w:rPr>
                <w:rFonts w:hint="eastAsia" w:hAnsi="宋体"/>
                <w:szCs w:val="21"/>
              </w:rPr>
              <w:t>2满分25</w:t>
            </w:r>
            <w:r>
              <w:rPr>
                <w:rFonts w:hAnsi="宋体"/>
                <w:szCs w:val="21"/>
              </w:rPr>
              <w:t>分。</w:t>
            </w:r>
          </w:p>
          <w:p>
            <w:pPr>
              <w:rPr>
                <w:rFonts w:hAnsi="宋体"/>
                <w:szCs w:val="21"/>
              </w:rPr>
            </w:pPr>
            <w:r>
              <w:rPr>
                <w:rFonts w:hint="eastAsia" w:hAnsi="宋体"/>
                <w:szCs w:val="21"/>
              </w:rPr>
              <w:t>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tcBorders>
              <w:bottom w:val="single" w:color="auto" w:sz="4" w:space="0"/>
            </w:tcBorders>
            <w:vAlign w:val="center"/>
          </w:tcPr>
          <w:p>
            <w:pPr>
              <w:rPr>
                <w:rFonts w:hAnsi="宋体"/>
                <w:szCs w:val="21"/>
              </w:rPr>
            </w:pPr>
            <w:r>
              <w:rPr>
                <w:rFonts w:hint="eastAsia" w:hAnsi="宋体"/>
                <w:szCs w:val="21"/>
              </w:rPr>
              <w:t>3）报价评分F1（满分70分）</w:t>
            </w:r>
          </w:p>
        </w:tc>
        <w:tc>
          <w:tcPr>
            <w:tcW w:w="6360" w:type="dxa"/>
            <w:tcBorders>
              <w:bottom w:val="single" w:color="auto" w:sz="4" w:space="0"/>
            </w:tcBorders>
            <w:vAlign w:val="center"/>
          </w:tcPr>
          <w:p>
            <w:pPr>
              <w:spacing w:line="300" w:lineRule="exact"/>
              <w:rPr>
                <w:rFonts w:hAnsi="宋体"/>
                <w:szCs w:val="21"/>
              </w:rPr>
            </w:pPr>
            <w:r>
              <w:rPr>
                <w:rFonts w:hint="eastAsia" w:hAnsi="宋体"/>
                <w:szCs w:val="21"/>
              </w:rPr>
              <w:t>综合评分法中的价格分统一采用低价优先法计算，即满足磋商文件要求且最后报价最低的供应商的价格为磋商基准价，其价格分为满分。其他供应商的价格分统一按照下列公式计算：</w:t>
            </w:r>
          </w:p>
          <w:p>
            <w:pPr>
              <w:spacing w:line="300" w:lineRule="exact"/>
              <w:rPr>
                <w:rFonts w:hAnsi="宋体"/>
                <w:szCs w:val="21"/>
              </w:rPr>
            </w:pPr>
            <w:r>
              <w:rPr>
                <w:rFonts w:hint="eastAsia" w:hAnsi="宋体"/>
                <w:szCs w:val="21"/>
              </w:rPr>
              <w:t>磋商报价得分=（磋商基准价/最后磋商报价）×价格权值×100</w:t>
            </w:r>
          </w:p>
          <w:p>
            <w:pPr>
              <w:spacing w:line="300" w:lineRule="exact"/>
              <w:rPr>
                <w:rFonts w:hAnsi="宋体"/>
                <w:szCs w:val="21"/>
              </w:rPr>
            </w:pPr>
            <w:r>
              <w:rPr>
                <w:rFonts w:hint="eastAsia" w:hAnsi="宋体"/>
                <w:szCs w:val="21"/>
              </w:rPr>
              <w:t>其中价格权值为0.7</w:t>
            </w:r>
          </w:p>
          <w:p>
            <w:pPr>
              <w:spacing w:line="300" w:lineRule="exact"/>
              <w:rPr>
                <w:rFonts w:hAnsi="宋体"/>
                <w:szCs w:val="21"/>
              </w:rPr>
            </w:pPr>
            <w:r>
              <w:rPr>
                <w:rFonts w:hint="eastAsia" w:hAnsi="宋体"/>
                <w:szCs w:val="21"/>
              </w:rPr>
              <w:t>注：根据《政府采购促进中小企业发展暂行办法》(财库【2011】181号)和《关于印发中小企业划型标准规定的通知》（工信部联企业〔2011〕300号）的规定，对符合中小企业划分标准的用扣除后的价格参与评审，在价格评分时对小型和微型企业产品给予最后报价6%的扣除，用扣除后的价格参与价格评分[即：参与价格评审的最后报价=供应商最后报价×(1-6%)](请供应商根据自身情况提供第三方证明材料，无第三方证明材料的在价格评分时不对最后报价进行价格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r>
              <w:rPr>
                <w:rFonts w:hint="eastAsia" w:hAnsi="宋体"/>
                <w:szCs w:val="21"/>
              </w:rPr>
              <w:t>4）技术部分评分F2（满分25分）</w:t>
            </w:r>
          </w:p>
        </w:tc>
        <w:tc>
          <w:tcPr>
            <w:tcW w:w="6360" w:type="dxa"/>
            <w:vAlign w:val="center"/>
          </w:tcPr>
          <w:p>
            <w:pPr>
              <w:spacing w:line="300" w:lineRule="exact"/>
              <w:rPr>
                <w:rFonts w:hAnsi="宋体"/>
                <w:b/>
                <w:bCs/>
                <w:szCs w:val="21"/>
              </w:rPr>
            </w:pPr>
            <w:r>
              <w:rPr>
                <w:rFonts w:hint="eastAsia" w:hAnsi="宋体"/>
                <w:b/>
                <w:bCs/>
                <w:szCs w:val="21"/>
              </w:rPr>
              <w:t>1）产品参数的响应程度评审评分（满分15分）</w:t>
            </w:r>
          </w:p>
          <w:p>
            <w:pPr>
              <w:spacing w:line="300" w:lineRule="exact"/>
              <w:rPr>
                <w:rFonts w:hAnsi="宋体"/>
                <w:szCs w:val="21"/>
              </w:rPr>
            </w:pPr>
            <w:r>
              <w:rPr>
                <w:rFonts w:hint="eastAsia" w:hAnsi="宋体"/>
                <w:szCs w:val="21"/>
              </w:rPr>
              <w:t>第一个档次[13-15]分：技术指标、参数满足或优于竞争性磋商文件规定的相应技术指标、参数的，且所选产品品牌信誉度、市场影响力较好；</w:t>
            </w:r>
          </w:p>
          <w:p>
            <w:pPr>
              <w:spacing w:line="300" w:lineRule="exact"/>
              <w:rPr>
                <w:rFonts w:hAnsi="宋体"/>
                <w:szCs w:val="21"/>
              </w:rPr>
            </w:pPr>
            <w:r>
              <w:rPr>
                <w:rFonts w:hint="eastAsia" w:hAnsi="宋体"/>
                <w:szCs w:val="21"/>
              </w:rPr>
              <w:t>第二个档次[10-12]分：技术指标、参数满足竞争性磋商文件规定的相应技术指标、参数的，且产品知名度、信誉度好，有一定市场影响力；</w:t>
            </w:r>
          </w:p>
          <w:p>
            <w:pPr>
              <w:spacing w:line="300" w:lineRule="exact"/>
              <w:rPr>
                <w:rFonts w:hAnsi="宋体"/>
                <w:szCs w:val="21"/>
              </w:rPr>
            </w:pPr>
            <w:r>
              <w:rPr>
                <w:rFonts w:hint="eastAsia" w:hAnsi="宋体"/>
                <w:szCs w:val="21"/>
              </w:rPr>
              <w:t>第三个档次[7-9]分：技术指标、参数部分满足竞争性磋商文件规定的相应技术指标、参数的，但产品知名度、信誉度、市场影响力较差；</w:t>
            </w:r>
          </w:p>
          <w:p>
            <w:pPr>
              <w:spacing w:line="300" w:lineRule="exact"/>
              <w:rPr>
                <w:rFonts w:hAnsi="宋体"/>
                <w:szCs w:val="21"/>
              </w:rPr>
            </w:pPr>
            <w:r>
              <w:rPr>
                <w:rFonts w:hint="eastAsia" w:hAnsi="宋体"/>
                <w:szCs w:val="21"/>
              </w:rPr>
              <w:t>依据响应文件技术规格偏离表，所投产品主要技术指标、参数及性能的详细说明书，其它有效证明材料进行综合评审。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Align w:val="center"/>
          </w:tcPr>
          <w:p>
            <w:pPr>
              <w:jc w:val="cente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2）质量承诺评审评分（满分10分）</w:t>
            </w:r>
          </w:p>
          <w:p>
            <w:pPr>
              <w:spacing w:line="300" w:lineRule="exact"/>
              <w:rPr>
                <w:rFonts w:hAnsi="宋体"/>
                <w:szCs w:val="21"/>
              </w:rPr>
            </w:pPr>
            <w:r>
              <w:rPr>
                <w:rFonts w:hint="eastAsia" w:hAnsi="宋体"/>
                <w:szCs w:val="21"/>
              </w:rPr>
              <w:t>第一个档次（8-10分）：质量保证及承诺优，措施完善，对货物出现问题有应对措施及处理办法；</w:t>
            </w:r>
          </w:p>
          <w:p>
            <w:pPr>
              <w:spacing w:line="300" w:lineRule="exact"/>
              <w:rPr>
                <w:rFonts w:hAnsi="宋体"/>
                <w:szCs w:val="21"/>
              </w:rPr>
            </w:pPr>
            <w:r>
              <w:rPr>
                <w:rFonts w:hint="eastAsia" w:hAnsi="宋体"/>
                <w:szCs w:val="21"/>
              </w:rPr>
              <w:t>第二个档次（5-7分）：质量保证及承诺良好，措施基本完善；</w:t>
            </w:r>
          </w:p>
          <w:p>
            <w:pPr>
              <w:spacing w:line="300" w:lineRule="exact"/>
              <w:rPr>
                <w:rFonts w:hAnsi="宋体"/>
                <w:szCs w:val="21"/>
              </w:rPr>
            </w:pPr>
            <w:r>
              <w:rPr>
                <w:rFonts w:hint="eastAsia" w:hAnsi="宋体"/>
                <w:szCs w:val="21"/>
              </w:rPr>
              <w:t>第三个档次（1-4分）：质量保证及承诺一般；</w:t>
            </w:r>
          </w:p>
          <w:p>
            <w:pPr>
              <w:spacing w:line="300" w:lineRule="exact"/>
              <w:rPr>
                <w:rFonts w:hAnsi="宋体"/>
                <w:szCs w:val="21"/>
              </w:rPr>
            </w:pPr>
            <w:r>
              <w:rPr>
                <w:rFonts w:hint="eastAsia" w:hAnsi="宋体"/>
                <w:szCs w:val="21"/>
              </w:rPr>
              <w:t>注：无质量承诺本项不得分。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restart"/>
            <w:vAlign w:val="center"/>
          </w:tcPr>
          <w:p>
            <w:pPr>
              <w:rPr>
                <w:rFonts w:hAnsi="宋体"/>
                <w:szCs w:val="21"/>
              </w:rPr>
            </w:pPr>
            <w:r>
              <w:rPr>
                <w:rFonts w:hint="eastAsia" w:hAnsi="宋体" w:cs="宋体"/>
                <w:szCs w:val="21"/>
              </w:rPr>
              <w:t>5)</w:t>
            </w:r>
            <w:r>
              <w:rPr>
                <w:rFonts w:hint="eastAsia" w:hAnsi="宋体"/>
                <w:szCs w:val="21"/>
              </w:rPr>
              <w:t xml:space="preserve"> 商务</w:t>
            </w:r>
            <w:r>
              <w:rPr>
                <w:rFonts w:hAnsi="宋体"/>
                <w:szCs w:val="21"/>
              </w:rPr>
              <w:t>部分</w:t>
            </w:r>
            <w:r>
              <w:rPr>
                <w:rFonts w:hint="eastAsia" w:hAnsi="宋体"/>
                <w:szCs w:val="21"/>
              </w:rPr>
              <w:t>评分</w:t>
            </w:r>
            <w:r>
              <w:rPr>
                <w:rFonts w:hAnsi="宋体"/>
                <w:szCs w:val="21"/>
              </w:rPr>
              <w:t>F</w:t>
            </w:r>
            <w:r>
              <w:rPr>
                <w:rFonts w:hint="eastAsia" w:hAnsi="宋体"/>
                <w:szCs w:val="21"/>
              </w:rPr>
              <w:t>3(满分5</w:t>
            </w:r>
            <w:r>
              <w:rPr>
                <w:rFonts w:hAnsi="宋体"/>
                <w:szCs w:val="21"/>
              </w:rPr>
              <w:t>分</w:t>
            </w:r>
            <w:r>
              <w:rPr>
                <w:rFonts w:hint="eastAsia" w:hAnsi="宋体"/>
                <w:szCs w:val="21"/>
              </w:rPr>
              <w:t>)</w:t>
            </w:r>
          </w:p>
        </w:tc>
        <w:tc>
          <w:tcPr>
            <w:tcW w:w="6360" w:type="dxa"/>
            <w:vAlign w:val="center"/>
          </w:tcPr>
          <w:p>
            <w:pPr>
              <w:spacing w:line="300" w:lineRule="exact"/>
              <w:rPr>
                <w:rFonts w:hAnsi="宋体"/>
                <w:b/>
                <w:bCs/>
                <w:szCs w:val="21"/>
              </w:rPr>
            </w:pPr>
            <w:r>
              <w:rPr>
                <w:rFonts w:hint="eastAsia" w:hAnsi="宋体"/>
                <w:b/>
                <w:bCs/>
                <w:szCs w:val="21"/>
              </w:rPr>
              <w:t>1)交货（服务）方案及时间进度计划安排评审评分（满分3分）</w:t>
            </w:r>
          </w:p>
          <w:p>
            <w:pPr>
              <w:spacing w:line="300" w:lineRule="exact"/>
              <w:rPr>
                <w:rFonts w:hAnsi="宋体"/>
                <w:szCs w:val="21"/>
              </w:rPr>
            </w:pPr>
            <w:r>
              <w:rPr>
                <w:rFonts w:hint="eastAsia" w:hAnsi="宋体"/>
                <w:szCs w:val="21"/>
              </w:rPr>
              <w:t>第一个档次（3分）：交货（服务）方案内容完整、交货期短、安排合理、切实可行、科学规范、针对性好；</w:t>
            </w:r>
          </w:p>
          <w:p>
            <w:pPr>
              <w:spacing w:line="300" w:lineRule="exact"/>
              <w:rPr>
                <w:rFonts w:hAnsi="宋体"/>
                <w:szCs w:val="21"/>
              </w:rPr>
            </w:pPr>
            <w:r>
              <w:rPr>
                <w:rFonts w:hint="eastAsia" w:hAnsi="宋体"/>
                <w:szCs w:val="21"/>
              </w:rPr>
              <w:t>第二个档次（2分）：交货（服务）方案内容较完整、交货期较短、安排较合理、针对性较好；</w:t>
            </w:r>
          </w:p>
          <w:p>
            <w:pPr>
              <w:spacing w:line="300" w:lineRule="exact"/>
              <w:rPr>
                <w:rFonts w:hAnsi="宋体"/>
                <w:szCs w:val="21"/>
              </w:rPr>
            </w:pPr>
            <w:r>
              <w:rPr>
                <w:rFonts w:hint="eastAsia" w:hAnsi="宋体"/>
                <w:szCs w:val="21"/>
              </w:rPr>
              <w:t>第三个档次（1分）：交货（服务）方案内容一般、交货期较长、针对性一般；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jc w:val="center"/>
        </w:trPr>
        <w:tc>
          <w:tcPr>
            <w:tcW w:w="2507" w:type="dxa"/>
            <w:vMerge w:val="continue"/>
            <w:vAlign w:val="center"/>
          </w:tcPr>
          <w:p>
            <w:pPr>
              <w:rPr>
                <w:rFonts w:hAnsi="宋体"/>
                <w:szCs w:val="21"/>
              </w:rPr>
            </w:pPr>
          </w:p>
        </w:tc>
        <w:tc>
          <w:tcPr>
            <w:tcW w:w="6360" w:type="dxa"/>
            <w:vAlign w:val="center"/>
          </w:tcPr>
          <w:p>
            <w:pPr>
              <w:spacing w:line="300" w:lineRule="exact"/>
              <w:rPr>
                <w:rFonts w:hAnsi="宋体"/>
                <w:b/>
                <w:bCs/>
                <w:szCs w:val="21"/>
              </w:rPr>
            </w:pPr>
            <w:r>
              <w:rPr>
                <w:rFonts w:hint="eastAsia" w:hAnsi="宋体"/>
                <w:b/>
                <w:bCs/>
                <w:szCs w:val="21"/>
              </w:rPr>
              <w:t>2）供应商类似案例评审评分（满分2分）</w:t>
            </w:r>
          </w:p>
          <w:p>
            <w:pPr>
              <w:spacing w:line="300" w:lineRule="exact"/>
              <w:rPr>
                <w:rFonts w:hAnsi="宋体"/>
                <w:szCs w:val="21"/>
              </w:rPr>
            </w:pPr>
            <w:r>
              <w:rPr>
                <w:rFonts w:hint="eastAsia" w:hAnsi="宋体"/>
                <w:szCs w:val="21"/>
              </w:rPr>
              <w:t>根据供应商2015年至本项目响应文件提交截止时间前已完成或正在实施过程中的类似案例进行评价打分，每提供一个类似案例得0.5分，加满为止。</w:t>
            </w:r>
          </w:p>
          <w:p>
            <w:pPr>
              <w:spacing w:line="300" w:lineRule="exact"/>
              <w:rPr>
                <w:rFonts w:hAnsi="宋体"/>
                <w:szCs w:val="21"/>
              </w:rPr>
            </w:pPr>
            <w:r>
              <w:rPr>
                <w:rFonts w:hint="eastAsia" w:hAnsi="宋体"/>
                <w:szCs w:val="21"/>
              </w:rPr>
              <w:t>供应商响应文件中须提供业绩列表及相对应的业绩证明材料，业绩证明材料为中标通知书或合同（合同首页、标的及金额所在页及合同签字盖章页的复印件加盖公章）。无证明材料或证明材料不明确、无法体现业绩内容的，不予认可。</w:t>
            </w:r>
          </w:p>
        </w:tc>
      </w:tr>
    </w:tbl>
    <w:p>
      <w:pPr>
        <w:pStyle w:val="2"/>
        <w:numPr>
          <w:ilvl w:val="0"/>
          <w:numId w:val="1"/>
        </w:numPr>
        <w:spacing w:line="500" w:lineRule="exact"/>
        <w:jc w:val="both"/>
        <w:rPr>
          <w:rFonts w:ascii="方正小标宋_GBK" w:eastAsia="方正小标宋_GBK"/>
          <w:sz w:val="24"/>
          <w:szCs w:val="24"/>
        </w:rPr>
      </w:pPr>
      <w:r>
        <w:rPr>
          <w:rFonts w:hint="eastAsia" w:ascii="方正小标宋_GBK" w:eastAsia="方正小标宋_GBK"/>
          <w:sz w:val="24"/>
          <w:szCs w:val="24"/>
        </w:rPr>
        <w:t>合同书样式及主要条款</w:t>
      </w:r>
    </w:p>
    <w:p>
      <w:pPr>
        <w:pStyle w:val="2"/>
        <w:spacing w:line="500" w:lineRule="exact"/>
        <w:ind w:firstLine="480" w:firstLineChars="200"/>
        <w:jc w:val="both"/>
        <w:rPr>
          <w:rFonts w:ascii="宋体" w:hAnsi="宋体"/>
          <w:b w:val="0"/>
          <w:bCs w:val="0"/>
          <w:kern w:val="2"/>
          <w:sz w:val="24"/>
          <w:szCs w:val="24"/>
        </w:rPr>
      </w:pPr>
      <w:bookmarkStart w:id="1" w:name="_Toc213141091"/>
      <w:bookmarkStart w:id="2" w:name="_Toc488633613"/>
      <w:bookmarkStart w:id="3" w:name="_Toc494043327"/>
      <w:bookmarkStart w:id="4" w:name="_Toc481694842"/>
      <w:r>
        <w:rPr>
          <w:rFonts w:hint="eastAsia" w:ascii="宋体" w:hAnsi="宋体"/>
          <w:b w:val="0"/>
          <w:bCs w:val="0"/>
          <w:kern w:val="2"/>
          <w:sz w:val="24"/>
          <w:szCs w:val="24"/>
        </w:rPr>
        <w:t>合同书样式及主要条款见表5.1合同条款前附表</w:t>
      </w:r>
      <w:bookmarkEnd w:id="1"/>
      <w:bookmarkEnd w:id="2"/>
      <w:bookmarkEnd w:id="3"/>
      <w:bookmarkEnd w:id="4"/>
      <w:r>
        <w:rPr>
          <w:rFonts w:hint="eastAsia" w:ascii="宋体" w:hAnsi="宋体"/>
          <w:b w:val="0"/>
          <w:bCs w:val="0"/>
          <w:kern w:val="2"/>
          <w:sz w:val="24"/>
          <w:szCs w:val="24"/>
        </w:rPr>
        <w:t>。</w:t>
      </w:r>
    </w:p>
    <w:p>
      <w:pPr>
        <w:jc w:val="center"/>
        <w:rPr>
          <w:rFonts w:hAnsi="宋体"/>
          <w:szCs w:val="21"/>
        </w:rPr>
      </w:pPr>
      <w:r>
        <w:rPr>
          <w:rFonts w:hint="eastAsia" w:hAnsi="宋体"/>
          <w:szCs w:val="21"/>
        </w:rPr>
        <w:t>表5.1合同条款前附表</w:t>
      </w:r>
    </w:p>
    <w:tbl>
      <w:tblPr>
        <w:tblStyle w:val="7"/>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7"/>
        <w:gridCol w:w="8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87" w:type="dxa"/>
            <w:vAlign w:val="center"/>
          </w:tcPr>
          <w:p>
            <w:pPr>
              <w:pStyle w:val="3"/>
              <w:rPr>
                <w:rFonts w:hAnsi="宋体"/>
                <w:b/>
                <w:bCs/>
                <w:szCs w:val="21"/>
              </w:rPr>
            </w:pPr>
            <w:r>
              <w:rPr>
                <w:rFonts w:hint="eastAsia" w:hAnsi="宋体"/>
                <w:b/>
                <w:bCs/>
                <w:szCs w:val="21"/>
              </w:rPr>
              <w:t>序号</w:t>
            </w:r>
          </w:p>
        </w:tc>
        <w:tc>
          <w:tcPr>
            <w:tcW w:w="8254" w:type="dxa"/>
            <w:vAlign w:val="center"/>
          </w:tcPr>
          <w:p>
            <w:pPr>
              <w:pStyle w:val="3"/>
              <w:ind w:firstLine="211" w:firstLineChars="100"/>
              <w:jc w:val="center"/>
              <w:rPr>
                <w:rFonts w:hAnsi="宋体"/>
                <w:b/>
                <w:bCs/>
                <w:szCs w:val="21"/>
              </w:rPr>
            </w:pPr>
            <w:r>
              <w:rPr>
                <w:rFonts w:hint="eastAsia" w:hAnsi="宋体"/>
                <w:b/>
                <w:bCs/>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szCs w:val="21"/>
              </w:rPr>
            </w:pPr>
            <w:r>
              <w:rPr>
                <w:rFonts w:hint="eastAsia"/>
                <w:szCs w:val="21"/>
              </w:rPr>
              <w:t>1</w:t>
            </w:r>
          </w:p>
        </w:tc>
        <w:tc>
          <w:tcPr>
            <w:tcW w:w="8254" w:type="dxa"/>
            <w:vAlign w:val="center"/>
          </w:tcPr>
          <w:p>
            <w:pPr>
              <w:spacing w:line="400" w:lineRule="exact"/>
              <w:jc w:val="left"/>
              <w:rPr>
                <w:rFonts w:hAnsi="宋体"/>
                <w:sz w:val="22"/>
                <w:szCs w:val="21"/>
              </w:rPr>
            </w:pPr>
            <w:r>
              <w:rPr>
                <w:rFonts w:hint="eastAsia" w:hAnsi="宋体"/>
                <w:sz w:val="22"/>
                <w:szCs w:val="21"/>
              </w:rPr>
              <w:t>交货时间：中标后合同签订后</w:t>
            </w:r>
            <w:r>
              <w:rPr>
                <w:rFonts w:hint="eastAsia" w:hAnsi="宋体"/>
                <w:sz w:val="22"/>
                <w:szCs w:val="21"/>
                <w:u w:val="single"/>
              </w:rPr>
              <w:t xml:space="preserve">   </w:t>
            </w:r>
            <w:r>
              <w:rPr>
                <w:rFonts w:hint="eastAsia" w:hAnsi="宋体"/>
                <w:sz w:val="22"/>
                <w:szCs w:val="21"/>
              </w:rPr>
              <w:t>个工作日内昆明理工大学附属小学鼓号队装备送至采购人指定地点（具体时间以甲方书面通知为准），并安装调试可用。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2</w:t>
            </w:r>
          </w:p>
        </w:tc>
        <w:tc>
          <w:tcPr>
            <w:tcW w:w="8254" w:type="dxa"/>
            <w:vAlign w:val="center"/>
          </w:tcPr>
          <w:p>
            <w:pPr>
              <w:spacing w:line="400" w:lineRule="exact"/>
              <w:jc w:val="left"/>
              <w:rPr>
                <w:rFonts w:hAnsi="宋体"/>
                <w:sz w:val="22"/>
                <w:szCs w:val="21"/>
              </w:rPr>
            </w:pPr>
            <w:r>
              <w:rPr>
                <w:rFonts w:hint="eastAsia" w:hAnsi="宋体"/>
                <w:sz w:val="22"/>
                <w:szCs w:val="21"/>
              </w:rPr>
              <w:t>验收及验收标准：</w:t>
            </w:r>
          </w:p>
          <w:p>
            <w:pPr>
              <w:spacing w:line="400" w:lineRule="exact"/>
              <w:jc w:val="left"/>
              <w:rPr>
                <w:rFonts w:hAnsi="宋体"/>
                <w:sz w:val="22"/>
                <w:szCs w:val="21"/>
              </w:rPr>
            </w:pPr>
            <w:r>
              <w:rPr>
                <w:rFonts w:hint="eastAsia" w:hAnsi="宋体"/>
                <w:sz w:val="22"/>
                <w:szCs w:val="21"/>
              </w:rPr>
              <w:t>1、初始验收：货品或设备到达甲方指定地点后甲方统一初验是否符合合同要求；</w:t>
            </w:r>
          </w:p>
          <w:p>
            <w:pPr>
              <w:spacing w:line="400" w:lineRule="exact"/>
              <w:jc w:val="left"/>
              <w:rPr>
                <w:rFonts w:hAnsi="宋体"/>
                <w:sz w:val="22"/>
                <w:szCs w:val="21"/>
              </w:rPr>
            </w:pPr>
            <w:r>
              <w:rPr>
                <w:rFonts w:hint="eastAsia" w:hAnsi="宋体"/>
                <w:sz w:val="22"/>
                <w:szCs w:val="21"/>
              </w:rPr>
              <w:t>2、 最终验收：乙方负责设备安装和调试完工后，甲方测试是否合格并满足合同约定，并进行资产建账；</w:t>
            </w:r>
          </w:p>
          <w:p>
            <w:pPr>
              <w:spacing w:line="400" w:lineRule="exact"/>
              <w:jc w:val="left"/>
            </w:pPr>
            <w:r>
              <w:rPr>
                <w:rFonts w:hint="eastAsia" w:hAnsi="宋体"/>
                <w:sz w:val="22"/>
                <w:szCs w:val="21"/>
              </w:rPr>
              <w:t>3、 实作性操作验收：设备正常运作3个月。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4" w:hRule="atLeast"/>
          <w:jc w:val="center"/>
        </w:trPr>
        <w:tc>
          <w:tcPr>
            <w:tcW w:w="687" w:type="dxa"/>
            <w:vAlign w:val="center"/>
          </w:tcPr>
          <w:p>
            <w:pPr>
              <w:pStyle w:val="3"/>
              <w:jc w:val="center"/>
              <w:rPr>
                <w:rFonts w:eastAsia="宋体"/>
                <w:szCs w:val="21"/>
              </w:rPr>
            </w:pPr>
            <w:r>
              <w:rPr>
                <w:rFonts w:hint="eastAsia"/>
                <w:szCs w:val="21"/>
              </w:rPr>
              <w:t>3</w:t>
            </w:r>
          </w:p>
        </w:tc>
        <w:tc>
          <w:tcPr>
            <w:tcW w:w="8254" w:type="dxa"/>
            <w:vAlign w:val="center"/>
          </w:tcPr>
          <w:p>
            <w:pPr>
              <w:spacing w:line="400" w:lineRule="exact"/>
              <w:jc w:val="left"/>
              <w:rPr>
                <w:rFonts w:hAnsi="宋体"/>
                <w:sz w:val="22"/>
                <w:szCs w:val="21"/>
              </w:rPr>
            </w:pPr>
            <w:r>
              <w:rPr>
                <w:rFonts w:hint="eastAsia" w:hAnsi="宋体"/>
                <w:sz w:val="22"/>
                <w:szCs w:val="21"/>
              </w:rPr>
              <w:t>违约责任：</w:t>
            </w:r>
          </w:p>
          <w:p>
            <w:pPr>
              <w:spacing w:line="400" w:lineRule="exact"/>
              <w:jc w:val="left"/>
              <w:rPr>
                <w:rFonts w:hAnsi="宋体"/>
                <w:sz w:val="22"/>
                <w:szCs w:val="21"/>
              </w:rPr>
            </w:pPr>
            <w:r>
              <w:rPr>
                <w:rFonts w:hint="eastAsia" w:hAnsi="宋体"/>
                <w:sz w:val="22"/>
                <w:szCs w:val="21"/>
              </w:rPr>
              <w:t>1、合作双方应着眼共同长远利益，对合作过程中出现的问题应共同协商解决，如乙方未能履行协议规定的供货责任，甲方提出有效证据后，乙方必须在壹周内及时整改。如未能达到双方共识的要求，甲方有权以企业公函形式向乙方提出终止合同履行。</w:t>
            </w:r>
          </w:p>
          <w:p>
            <w:pPr>
              <w:numPr>
                <w:ilvl w:val="0"/>
                <w:numId w:val="3"/>
              </w:numPr>
              <w:spacing w:line="400" w:lineRule="exact"/>
              <w:jc w:val="left"/>
              <w:rPr>
                <w:rFonts w:hAnsi="宋体"/>
                <w:sz w:val="22"/>
                <w:szCs w:val="21"/>
              </w:rPr>
            </w:pPr>
            <w:r>
              <w:rPr>
                <w:rFonts w:hint="eastAsia" w:hAnsi="宋体"/>
                <w:sz w:val="22"/>
                <w:szCs w:val="21"/>
              </w:rPr>
              <w:t>甲方无故终止合同，导致乙方已备库存或产品已在线生产，甲方须向乙方赔偿合同约定的50%价款。</w:t>
            </w:r>
          </w:p>
          <w:p>
            <w:pPr>
              <w:spacing w:line="400" w:lineRule="exact"/>
              <w:jc w:val="left"/>
              <w:rPr>
                <w:rFonts w:hAnsi="宋体"/>
                <w:sz w:val="22"/>
                <w:szCs w:val="21"/>
              </w:rPr>
            </w:pPr>
            <w:r>
              <w:rPr>
                <w:rFonts w:hint="eastAsia" w:hAnsi="宋体"/>
                <w:sz w:val="22"/>
                <w:szCs w:val="21"/>
              </w:rPr>
              <w:t>3、乙方无故终止合同，乙方须向甲方赔偿已产生合同总金额的50%价款。</w:t>
            </w:r>
          </w:p>
          <w:p>
            <w:pPr>
              <w:spacing w:line="400" w:lineRule="exact"/>
              <w:jc w:val="left"/>
              <w:rPr>
                <w:rFonts w:hAnsi="宋体"/>
                <w:color w:val="000000" w:themeColor="text1"/>
                <w:sz w:val="22"/>
                <w:szCs w:val="21"/>
                <w14:textFill>
                  <w14:solidFill>
                    <w14:schemeClr w14:val="tx1"/>
                  </w14:solidFill>
                </w14:textFill>
              </w:rPr>
            </w:pPr>
            <w:bookmarkStart w:id="5" w:name="_GoBack"/>
            <w:r>
              <w:rPr>
                <w:rFonts w:hint="eastAsia" w:hAnsi="宋体"/>
                <w:color w:val="000000" w:themeColor="text1"/>
                <w:sz w:val="22"/>
                <w:szCs w:val="21"/>
                <w14:textFill>
                  <w14:solidFill>
                    <w14:schemeClr w14:val="tx1"/>
                  </w14:solidFill>
                </w14:textFill>
              </w:rPr>
              <w:t>4、乙方不得提供无授权、假冒、劣质的产品，否则甲方有权拒收产品，在使用的产品有权退货退款，并由乙方承担一切法律后果。同时终止合同，乙方须向甲方退还已产生的合同价款，并赔偿合同价款总金额的50%作为违约金。</w:t>
            </w:r>
          </w:p>
          <w:bookmarkEnd w:id="5"/>
          <w:p>
            <w:pPr>
              <w:spacing w:line="400" w:lineRule="exact"/>
              <w:jc w:val="left"/>
              <w:rPr>
                <w:rFonts w:hAnsi="宋体"/>
                <w:sz w:val="22"/>
                <w:szCs w:val="21"/>
              </w:rPr>
            </w:pPr>
            <w:r>
              <w:rPr>
                <w:rFonts w:hint="eastAsia" w:hAnsi="宋体"/>
                <w:sz w:val="22"/>
                <w:szCs w:val="21"/>
              </w:rPr>
              <w:t>5、乙方迟交货3天，支付甲方违约罚金，金额为本次供货合同总金额的3%;</w:t>
            </w:r>
          </w:p>
          <w:p>
            <w:pPr>
              <w:spacing w:line="400" w:lineRule="exact"/>
              <w:jc w:val="left"/>
              <w:rPr>
                <w:rFonts w:hAnsi="宋体"/>
                <w:sz w:val="22"/>
                <w:szCs w:val="21"/>
              </w:rPr>
            </w:pPr>
            <w:r>
              <w:rPr>
                <w:rFonts w:hint="eastAsia" w:hAnsi="宋体"/>
                <w:sz w:val="22"/>
                <w:szCs w:val="21"/>
              </w:rPr>
              <w:t>6、乙方迟交货1周，支付甲方违约罚金，金额为本次供货合同总金额的5%;</w:t>
            </w:r>
          </w:p>
          <w:p>
            <w:pPr>
              <w:spacing w:line="400" w:lineRule="exact"/>
              <w:jc w:val="left"/>
              <w:rPr>
                <w:rFonts w:eastAsia="宋体"/>
              </w:rPr>
            </w:pPr>
            <w:r>
              <w:rPr>
                <w:rFonts w:hint="eastAsia" w:hAnsi="宋体"/>
                <w:sz w:val="22"/>
                <w:szCs w:val="21"/>
              </w:rPr>
              <w:t>7、乙方迟交货2周，合同终止，乙方赔偿甲方已产生合同总金额的50%。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4</w:t>
            </w:r>
          </w:p>
        </w:tc>
        <w:tc>
          <w:tcPr>
            <w:tcW w:w="8254" w:type="dxa"/>
            <w:vAlign w:val="center"/>
          </w:tcPr>
          <w:p>
            <w:pPr>
              <w:spacing w:line="400" w:lineRule="exact"/>
              <w:jc w:val="left"/>
              <w:rPr>
                <w:rFonts w:hAnsi="宋体"/>
                <w:sz w:val="22"/>
                <w:szCs w:val="21"/>
              </w:rPr>
            </w:pPr>
            <w:r>
              <w:rPr>
                <w:rFonts w:hint="eastAsia" w:hAnsi="宋体"/>
                <w:sz w:val="22"/>
                <w:szCs w:val="21"/>
              </w:rPr>
              <w:t>付款方式：</w:t>
            </w:r>
          </w:p>
          <w:p>
            <w:pPr>
              <w:spacing w:line="400" w:lineRule="exact"/>
              <w:jc w:val="left"/>
              <w:rPr>
                <w:rFonts w:hAnsi="宋体"/>
                <w:sz w:val="22"/>
                <w:szCs w:val="21"/>
              </w:rPr>
            </w:pPr>
            <w:r>
              <w:rPr>
                <w:rFonts w:hint="eastAsia" w:hAnsi="宋体"/>
                <w:sz w:val="22"/>
                <w:szCs w:val="21"/>
              </w:rPr>
              <w:t>1、在最终验收和资产建账完成后，符合规范和要求，可以进入付款阶段，支付至合同金额的70%。</w:t>
            </w:r>
          </w:p>
          <w:p>
            <w:pPr>
              <w:spacing w:line="400" w:lineRule="exact"/>
              <w:jc w:val="left"/>
              <w:rPr>
                <w:rFonts w:hAnsi="宋体"/>
                <w:sz w:val="22"/>
                <w:szCs w:val="21"/>
              </w:rPr>
            </w:pPr>
            <w:r>
              <w:rPr>
                <w:rFonts w:hint="eastAsia" w:hAnsi="宋体"/>
                <w:sz w:val="22"/>
                <w:szCs w:val="21"/>
              </w:rPr>
              <w:t>2、设备正常运行3个月后方，支付至合同金额的95%。</w:t>
            </w:r>
          </w:p>
          <w:p>
            <w:pPr>
              <w:spacing w:line="440" w:lineRule="exact"/>
              <w:rPr>
                <w:rFonts w:hAnsi="宋体" w:eastAsia="宋体"/>
                <w:sz w:val="22"/>
                <w:szCs w:val="21"/>
              </w:rPr>
            </w:pPr>
            <w:r>
              <w:rPr>
                <w:rFonts w:hint="eastAsia" w:hAnsi="宋体"/>
                <w:sz w:val="22"/>
                <w:szCs w:val="21"/>
              </w:rPr>
              <w:t>3、剩余合同金额的5%，待质保期满后无息返还</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687" w:type="dxa"/>
            <w:vAlign w:val="center"/>
          </w:tcPr>
          <w:p>
            <w:pPr>
              <w:pStyle w:val="3"/>
              <w:jc w:val="center"/>
              <w:rPr>
                <w:rFonts w:eastAsia="宋体"/>
                <w:szCs w:val="21"/>
              </w:rPr>
            </w:pPr>
            <w:r>
              <w:rPr>
                <w:rFonts w:hint="eastAsia"/>
                <w:szCs w:val="21"/>
              </w:rPr>
              <w:t>5</w:t>
            </w:r>
          </w:p>
        </w:tc>
        <w:tc>
          <w:tcPr>
            <w:tcW w:w="8254" w:type="dxa"/>
            <w:vAlign w:val="center"/>
          </w:tcPr>
          <w:p>
            <w:pPr>
              <w:spacing w:line="440" w:lineRule="exact"/>
              <w:rPr>
                <w:rFonts w:hAnsi="宋体"/>
                <w:sz w:val="22"/>
                <w:szCs w:val="21"/>
              </w:rPr>
            </w:pPr>
            <w:r>
              <w:rPr>
                <w:rFonts w:hint="eastAsia" w:hAnsi="宋体"/>
                <w:sz w:val="22"/>
                <w:szCs w:val="21"/>
              </w:rPr>
              <w:t xml:space="preserve">质保期：承诺对所售产品质保 </w:t>
            </w:r>
            <w:r>
              <w:rPr>
                <w:rFonts w:hint="eastAsia" w:hAnsi="宋体"/>
                <w:sz w:val="22"/>
                <w:szCs w:val="21"/>
                <w:u w:val="single"/>
              </w:rPr>
              <w:t xml:space="preserve">     </w:t>
            </w:r>
            <w:r>
              <w:rPr>
                <w:rFonts w:hint="eastAsia" w:hAnsi="宋体"/>
                <w:sz w:val="22"/>
                <w:szCs w:val="21"/>
              </w:rPr>
              <w:t xml:space="preserve"> 年。</w:t>
            </w:r>
          </w:p>
        </w:tc>
      </w:tr>
    </w:tbl>
    <w:p>
      <w:pPr>
        <w:jc w:val="center"/>
        <w:rPr>
          <w:rFonts w:hAnsi="宋体"/>
          <w:szCs w:val="21"/>
        </w:rPr>
      </w:pPr>
    </w:p>
    <w:p>
      <w:pPr>
        <w:pStyle w:val="9"/>
        <w:ind w:left="720" w:firstLine="0" w:firstLineChars="0"/>
        <w:rPr>
          <w:rFonts w:ascii="方正小标宋_GBK" w:eastAsia="方正小标宋_GBK"/>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报价单位（盖章）：</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法人签字：</w:t>
      </w:r>
    </w:p>
    <w:p>
      <w:pPr>
        <w:spacing w:line="460" w:lineRule="exact"/>
        <w:rPr>
          <w:rFonts w:ascii="方正小标宋_GBK" w:hAnsi="Calibri" w:eastAsia="方正小标宋_GBK" w:cs="Times New Roman"/>
          <w:sz w:val="24"/>
          <w:szCs w:val="24"/>
        </w:rPr>
      </w:pPr>
    </w:p>
    <w:p>
      <w:pPr>
        <w:spacing w:line="460" w:lineRule="exact"/>
        <w:rPr>
          <w:rFonts w:ascii="方正小标宋_GBK" w:eastAsia="方正小标宋_GBK"/>
          <w:sz w:val="24"/>
          <w:szCs w:val="24"/>
        </w:rPr>
      </w:pPr>
      <w:r>
        <w:rPr>
          <w:rFonts w:hint="eastAsia" w:ascii="方正小标宋_GBK" w:hAnsi="Calibri" w:eastAsia="方正小标宋_GBK" w:cs="Times New Roman"/>
          <w:sz w:val="24"/>
          <w:szCs w:val="24"/>
        </w:rPr>
        <w:t xml:space="preserve">授权代表签字：   </w:t>
      </w:r>
      <w:r>
        <w:rPr>
          <w:rFonts w:hint="eastAsia" w:ascii="方正小标宋_GBK" w:eastAsia="方正小标宋_GBK"/>
          <w:sz w:val="24"/>
          <w:szCs w:val="24"/>
        </w:rPr>
        <w:t xml:space="preserve">                    </w:t>
      </w:r>
      <w:r>
        <w:rPr>
          <w:rFonts w:hint="eastAsia" w:ascii="方正小标宋_GBK" w:hAnsi="Calibri" w:eastAsia="方正小标宋_GBK" w:cs="Times New Roman"/>
          <w:sz w:val="24"/>
          <w:szCs w:val="24"/>
        </w:rPr>
        <w:t>授权代表电话：</w:t>
      </w:r>
    </w:p>
    <w:p>
      <w:pPr>
        <w:spacing w:line="460" w:lineRule="exact"/>
        <w:rPr>
          <w:rFonts w:ascii="方正小标宋_GBK" w:hAnsi="Calibri" w:eastAsia="方正小标宋_GBK" w:cs="Times New Roman"/>
          <w:sz w:val="24"/>
          <w:szCs w:val="24"/>
        </w:rPr>
      </w:pPr>
    </w:p>
    <w:p>
      <w:pPr>
        <w:ind w:firstLine="5640" w:firstLineChars="2350"/>
        <w:rPr>
          <w:rFonts w:ascii="方正小标宋_GBK" w:hAnsi="Calibri" w:eastAsia="方正小标宋_GBK" w:cs="Times New Roman"/>
          <w:sz w:val="24"/>
          <w:szCs w:val="24"/>
        </w:rPr>
      </w:pPr>
      <w:r>
        <w:rPr>
          <w:rFonts w:hint="eastAsia" w:ascii="方正小标宋_GBK" w:hAnsi="Calibri" w:eastAsia="方正小标宋_GBK" w:cs="Times New Roman"/>
          <w:sz w:val="24"/>
          <w:szCs w:val="24"/>
        </w:rPr>
        <w:t>日    期：</w:t>
      </w:r>
    </w:p>
    <w:p>
      <w:pPr>
        <w:jc w:val="left"/>
        <w:rPr>
          <w:rFonts w:ascii="方正小标宋_GBK" w:hAnsi="Calibri" w:eastAsia="方正小标宋_GBK"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AB89DF"/>
    <w:multiLevelType w:val="singleLevel"/>
    <w:tmpl w:val="88AB89DF"/>
    <w:lvl w:ilvl="0" w:tentative="0">
      <w:start w:val="1"/>
      <w:numFmt w:val="decimal"/>
      <w:suff w:val="nothing"/>
      <w:lvlText w:val="%1、"/>
      <w:lvlJc w:val="left"/>
    </w:lvl>
  </w:abstractNum>
  <w:abstractNum w:abstractNumId="1">
    <w:nsid w:val="ECE5998B"/>
    <w:multiLevelType w:val="singleLevel"/>
    <w:tmpl w:val="ECE5998B"/>
    <w:lvl w:ilvl="0" w:tentative="0">
      <w:start w:val="2"/>
      <w:numFmt w:val="decimal"/>
      <w:suff w:val="nothing"/>
      <w:lvlText w:val="%1、"/>
      <w:lvlJc w:val="left"/>
    </w:lvl>
  </w:abstractNum>
  <w:abstractNum w:abstractNumId="2">
    <w:nsid w:val="058436F2"/>
    <w:multiLevelType w:val="multilevel"/>
    <w:tmpl w:val="058436F2"/>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7156"/>
    <w:rsid w:val="00145FB7"/>
    <w:rsid w:val="001F4E3B"/>
    <w:rsid w:val="003D0C90"/>
    <w:rsid w:val="00673F49"/>
    <w:rsid w:val="00684922"/>
    <w:rsid w:val="00922B76"/>
    <w:rsid w:val="00B07156"/>
    <w:rsid w:val="00CB730B"/>
    <w:rsid w:val="00CC5326"/>
    <w:rsid w:val="00F313B4"/>
    <w:rsid w:val="185301F7"/>
    <w:rsid w:val="187375C8"/>
    <w:rsid w:val="32972250"/>
    <w:rsid w:val="39A402B5"/>
    <w:rsid w:val="3C33187E"/>
    <w:rsid w:val="42681499"/>
    <w:rsid w:val="4BC23897"/>
    <w:rsid w:val="4DA930EA"/>
    <w:rsid w:val="55FE0319"/>
    <w:rsid w:val="58FC6FA3"/>
    <w:rsid w:val="5F6E58DA"/>
    <w:rsid w:val="60EA6ECA"/>
    <w:rsid w:val="6AE148DC"/>
    <w:rsid w:val="6BF42516"/>
    <w:rsid w:val="76F16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line="360" w:lineRule="auto"/>
      <w:jc w:val="center"/>
      <w:outlineLvl w:val="0"/>
    </w:pPr>
    <w:rPr>
      <w:rFonts w:ascii="Times New Roman"/>
      <w:b/>
      <w:bCs/>
      <w:kern w:val="44"/>
      <w:sz w:val="30"/>
      <w:szCs w:val="44"/>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Plain Text"/>
    <w:basedOn w:val="1"/>
    <w:next w:val="1"/>
    <w:qFormat/>
    <w:uiPriority w:val="99"/>
    <w:rPr>
      <w:szCs w:val="20"/>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6"/>
    <w:link w:val="5"/>
    <w:semiHidden/>
    <w:qFormat/>
    <w:uiPriority w:val="99"/>
    <w:rPr>
      <w:sz w:val="18"/>
      <w:szCs w:val="18"/>
    </w:rPr>
  </w:style>
  <w:style w:type="character" w:customStyle="1" w:styleId="11">
    <w:name w:val="页脚 Char"/>
    <w:basedOn w:val="6"/>
    <w:link w:val="4"/>
    <w:semiHidden/>
    <w:qFormat/>
    <w:uiPriority w:val="99"/>
    <w:rPr>
      <w:sz w:val="18"/>
      <w:szCs w:val="18"/>
    </w:rPr>
  </w:style>
  <w:style w:type="character" w:customStyle="1" w:styleId="12">
    <w:name w:val="font31"/>
    <w:basedOn w:val="6"/>
    <w:qFormat/>
    <w:uiPriority w:val="0"/>
    <w:rPr>
      <w:rFonts w:hint="eastAsia" w:ascii="宋体" w:hAnsi="宋体" w:eastAsia="宋体" w:cs="宋体"/>
      <w:b/>
      <w:color w:val="FF0000"/>
      <w:sz w:val="18"/>
      <w:szCs w:val="18"/>
      <w:u w:val="none"/>
    </w:rPr>
  </w:style>
  <w:style w:type="character" w:customStyle="1" w:styleId="13">
    <w:name w:val="font01"/>
    <w:basedOn w:val="6"/>
    <w:qFormat/>
    <w:uiPriority w:val="0"/>
    <w:rPr>
      <w:rFonts w:hint="eastAsia" w:ascii="宋体" w:hAnsi="宋体" w:eastAsia="宋体" w:cs="宋体"/>
      <w:color w:val="FF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676</Words>
  <Characters>3859</Characters>
  <Lines>32</Lines>
  <Paragraphs>9</Paragraphs>
  <TotalTime>19</TotalTime>
  <ScaleCrop>false</ScaleCrop>
  <LinksUpToDate>false</LinksUpToDate>
  <CharactersWithSpaces>4526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2017-10-25T02:55:00Z</dcterms:created>
  <dc:creator>杨天武</dc:creator>
  <cp:lastModifiedBy>杨天武</cp:lastModifiedBy>
  <cp:lastPrinted>2018-11-07T01:58:04Z</cp:lastPrinted>
  <dcterms:modified xsi:type="dcterms:W3CDTF">2018-11-07T02:06:28Z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