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Arial"/>
          <w:color w:val="auto"/>
          <w:kern w:val="0"/>
          <w:sz w:val="24"/>
          <w:szCs w:val="24"/>
          <w:lang w:val="en-US" w:eastAsia="zh-CN"/>
        </w:rPr>
      </w:pPr>
      <w:r>
        <w:rPr>
          <w:rFonts w:hint="eastAsia" w:ascii="宋体" w:hAnsi="宋体" w:eastAsia="宋体" w:cs="Arial"/>
          <w:color w:val="auto"/>
          <w:kern w:val="0"/>
          <w:sz w:val="24"/>
          <w:szCs w:val="24"/>
          <w:lang w:val="en-US" w:eastAsia="zh-CN"/>
        </w:rPr>
        <w:t xml:space="preserve">附件1：        </w:t>
      </w:r>
    </w:p>
    <w:p>
      <w:pPr>
        <w:jc w:val="center"/>
        <w:rPr>
          <w:rFonts w:hint="eastAsia" w:ascii="黑体" w:hAnsi="黑体" w:eastAsia="黑体"/>
          <w:color w:val="auto"/>
          <w:sz w:val="32"/>
          <w:szCs w:val="32"/>
          <w:lang w:eastAsia="zh-CN"/>
        </w:rPr>
      </w:pPr>
      <w:r>
        <w:rPr>
          <w:rFonts w:hint="eastAsia" w:ascii="黑体" w:hAnsi="黑体" w:eastAsia="黑体"/>
          <w:color w:val="auto"/>
          <w:sz w:val="32"/>
          <w:szCs w:val="32"/>
        </w:rPr>
        <w:t>昆明理工教育发展有限公司</w:t>
      </w:r>
      <w:r>
        <w:rPr>
          <w:rFonts w:hint="eastAsia" w:ascii="黑体" w:hAnsi="黑体" w:eastAsia="黑体"/>
          <w:color w:val="auto"/>
          <w:sz w:val="32"/>
          <w:szCs w:val="32"/>
          <w:lang w:eastAsia="zh-CN"/>
        </w:rPr>
        <w:t>201</w:t>
      </w:r>
      <w:r>
        <w:rPr>
          <w:rFonts w:hint="eastAsia" w:ascii="黑体" w:hAnsi="黑体" w:eastAsia="黑体"/>
          <w:color w:val="auto"/>
          <w:sz w:val="32"/>
          <w:szCs w:val="32"/>
          <w:lang w:val="en-US" w:eastAsia="zh-CN"/>
        </w:rPr>
        <w:t>8</w:t>
      </w:r>
      <w:r>
        <w:rPr>
          <w:rFonts w:hint="eastAsia" w:ascii="黑体" w:hAnsi="黑体" w:eastAsia="黑体"/>
          <w:color w:val="auto"/>
          <w:sz w:val="32"/>
          <w:szCs w:val="32"/>
          <w:lang w:eastAsia="zh-CN"/>
        </w:rPr>
        <w:t>kgf</w:t>
      </w:r>
      <w:r>
        <w:rPr>
          <w:rFonts w:hint="eastAsia" w:ascii="黑体" w:hAnsi="黑体" w:eastAsia="黑体"/>
          <w:color w:val="auto"/>
          <w:sz w:val="32"/>
          <w:szCs w:val="32"/>
          <w:lang w:val="en-US" w:eastAsia="zh-CN"/>
        </w:rPr>
        <w:t>x</w:t>
      </w:r>
      <w:r>
        <w:rPr>
          <w:rFonts w:hint="eastAsia" w:ascii="黑体" w:hAnsi="黑体" w:eastAsia="黑体"/>
          <w:color w:val="auto"/>
          <w:sz w:val="32"/>
          <w:szCs w:val="32"/>
          <w:lang w:eastAsia="zh-CN"/>
        </w:rPr>
        <w:t>00</w:t>
      </w:r>
      <w:r>
        <w:rPr>
          <w:rFonts w:hint="eastAsia" w:ascii="黑体" w:hAnsi="黑体" w:eastAsia="黑体"/>
          <w:color w:val="auto"/>
          <w:sz w:val="32"/>
          <w:szCs w:val="32"/>
          <w:lang w:val="en-US" w:eastAsia="zh-CN"/>
        </w:rPr>
        <w:t>1项目</w:t>
      </w:r>
      <w:r>
        <w:rPr>
          <w:rFonts w:hint="eastAsia" w:ascii="黑体" w:hAnsi="黑体" w:eastAsia="黑体"/>
          <w:color w:val="auto"/>
          <w:sz w:val="32"/>
          <w:szCs w:val="32"/>
          <w:lang w:eastAsia="zh-CN"/>
        </w:rPr>
        <w:t>询价磋商文件</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Chars="0"/>
        <w:textAlignment w:val="auto"/>
        <w:outlineLvl w:val="9"/>
        <w:rPr>
          <w:rFonts w:ascii="黑体" w:hAnsi="黑体" w:eastAsia="黑体"/>
          <w:b/>
          <w:bCs w:val="0"/>
          <w:color w:val="auto"/>
          <w:sz w:val="24"/>
          <w:szCs w:val="24"/>
        </w:rPr>
      </w:pPr>
      <w:r>
        <w:rPr>
          <w:rFonts w:hint="eastAsia" w:ascii="宋体" w:hAnsi="宋体" w:eastAsia="宋体"/>
          <w:b/>
          <w:bCs w:val="0"/>
          <w:color w:val="auto"/>
          <w:sz w:val="24"/>
          <w:szCs w:val="24"/>
        </w:rPr>
        <w:t>项目</w:t>
      </w:r>
      <w:r>
        <w:rPr>
          <w:rFonts w:ascii="宋体" w:hAnsi="宋体" w:eastAsia="宋体"/>
          <w:b/>
          <w:bCs w:val="0"/>
          <w:color w:val="auto"/>
          <w:sz w:val="24"/>
          <w:szCs w:val="24"/>
        </w:rPr>
        <w:t>概况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 w:val="24"/>
          <w:szCs w:val="24"/>
        </w:rPr>
      </w:pPr>
      <w:r>
        <w:rPr>
          <w:rFonts w:hint="eastAsia" w:ascii="宋体" w:hAnsi="宋体" w:eastAsia="宋体"/>
          <w:bCs/>
          <w:color w:val="auto"/>
          <w:sz w:val="24"/>
          <w:szCs w:val="24"/>
          <w:lang w:val="en-US" w:eastAsia="zh-CN"/>
        </w:rPr>
        <w:t>1.</w:t>
      </w:r>
      <w:r>
        <w:rPr>
          <w:rFonts w:hint="eastAsia" w:ascii="宋体" w:hAnsi="宋体"/>
          <w:color w:val="auto"/>
          <w:sz w:val="24"/>
          <w:szCs w:val="24"/>
        </w:rPr>
        <w:t>项目</w:t>
      </w:r>
      <w:r>
        <w:rPr>
          <w:rFonts w:hint="eastAsia" w:ascii="宋体" w:hAnsi="宋体"/>
          <w:color w:val="auto"/>
          <w:sz w:val="24"/>
          <w:szCs w:val="24"/>
          <w:lang w:eastAsia="zh-CN"/>
        </w:rPr>
        <w:t>名称</w:t>
      </w:r>
      <w:r>
        <w:rPr>
          <w:rFonts w:hint="eastAsia" w:ascii="宋体" w:hAnsi="宋体"/>
          <w:color w:val="auto"/>
          <w:sz w:val="24"/>
          <w:szCs w:val="24"/>
        </w:rPr>
        <w:t>：</w:t>
      </w:r>
      <w:r>
        <w:rPr>
          <w:rFonts w:ascii="Arial" w:hAnsi="Arial" w:cs="Arial"/>
          <w:color w:val="auto"/>
          <w:sz w:val="24"/>
          <w:szCs w:val="24"/>
        </w:rPr>
        <w:t>昆明理工大学</w:t>
      </w:r>
      <w:r>
        <w:rPr>
          <w:rFonts w:hint="eastAsia" w:ascii="Arial" w:hAnsi="Arial" w:cs="Arial"/>
          <w:color w:val="auto"/>
          <w:sz w:val="24"/>
          <w:szCs w:val="24"/>
        </w:rPr>
        <w:t>附属</w:t>
      </w:r>
      <w:r>
        <w:rPr>
          <w:rFonts w:hint="eastAsia" w:ascii="Arial" w:hAnsi="Arial" w:cs="Arial"/>
          <w:color w:val="auto"/>
          <w:sz w:val="24"/>
          <w:szCs w:val="24"/>
          <w:lang w:eastAsia="zh-CN"/>
        </w:rPr>
        <w:t>小</w:t>
      </w:r>
      <w:r>
        <w:rPr>
          <w:rFonts w:hint="eastAsia" w:ascii="Arial" w:hAnsi="Arial" w:cs="Arial"/>
          <w:color w:val="auto"/>
          <w:sz w:val="24"/>
          <w:szCs w:val="24"/>
        </w:rPr>
        <w:t>学</w:t>
      </w:r>
      <w:r>
        <w:rPr>
          <w:rFonts w:hint="eastAsia" w:ascii="Arial" w:hAnsi="Arial" w:cs="Arial"/>
          <w:color w:val="auto"/>
          <w:sz w:val="24"/>
          <w:szCs w:val="24"/>
          <w:lang w:eastAsia="zh-CN"/>
        </w:rPr>
        <w:t>鼓号队装备</w:t>
      </w:r>
      <w:r>
        <w:rPr>
          <w:rFonts w:ascii="Arial" w:hAnsi="Arial" w:cs="Arial"/>
          <w:color w:val="auto"/>
          <w:sz w:val="24"/>
          <w:szCs w:val="24"/>
        </w:rPr>
        <w:t>项目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Arial" w:hAnsi="Arial" w:cs="Arial" w:eastAsiaTheme="minorEastAsia"/>
          <w:color w:val="auto"/>
          <w:sz w:val="24"/>
          <w:szCs w:val="24"/>
          <w:lang w:val="en-US" w:eastAsia="zh-CN"/>
        </w:rPr>
      </w:pPr>
      <w:r>
        <w:rPr>
          <w:rFonts w:hint="eastAsia" w:ascii="宋体" w:hAnsi="宋体"/>
          <w:color w:val="auto"/>
          <w:sz w:val="24"/>
          <w:szCs w:val="24"/>
          <w:lang w:val="en-US" w:eastAsia="zh-CN"/>
        </w:rPr>
        <w:t>2.项目编号：</w:t>
      </w:r>
      <w:r>
        <w:rPr>
          <w:rFonts w:hint="eastAsia" w:ascii="Arial" w:hAnsi="Arial" w:cs="Arial"/>
          <w:color w:val="auto"/>
          <w:sz w:val="24"/>
          <w:szCs w:val="24"/>
        </w:rPr>
        <w:t>201</w:t>
      </w:r>
      <w:r>
        <w:rPr>
          <w:rFonts w:hint="eastAsia" w:ascii="Arial" w:hAnsi="Arial" w:cs="Arial"/>
          <w:color w:val="auto"/>
          <w:sz w:val="24"/>
          <w:szCs w:val="24"/>
          <w:lang w:val="en-US" w:eastAsia="zh-CN"/>
        </w:rPr>
        <w:t>8</w:t>
      </w:r>
      <w:r>
        <w:rPr>
          <w:rFonts w:hint="eastAsia" w:ascii="Arial" w:hAnsi="Arial" w:cs="Arial"/>
          <w:color w:val="auto"/>
          <w:sz w:val="24"/>
          <w:szCs w:val="24"/>
        </w:rPr>
        <w:t>kgf</w:t>
      </w:r>
      <w:r>
        <w:rPr>
          <w:rFonts w:hint="eastAsia" w:ascii="Arial" w:hAnsi="Arial" w:cs="Arial"/>
          <w:color w:val="auto"/>
          <w:sz w:val="24"/>
          <w:szCs w:val="24"/>
          <w:lang w:val="en-US" w:eastAsia="zh-CN"/>
        </w:rPr>
        <w:t>x</w:t>
      </w:r>
      <w:r>
        <w:rPr>
          <w:rFonts w:hint="eastAsia" w:ascii="Arial" w:hAnsi="Arial" w:cs="Arial"/>
          <w:color w:val="auto"/>
          <w:sz w:val="24"/>
          <w:szCs w:val="24"/>
        </w:rPr>
        <w:t>00</w:t>
      </w:r>
      <w:r>
        <w:rPr>
          <w:rFonts w:hint="eastAsia" w:ascii="Arial" w:hAnsi="Arial" w:cs="Arial"/>
          <w:color w:val="auto"/>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olor w:val="auto"/>
          <w:sz w:val="24"/>
          <w:szCs w:val="24"/>
        </w:rPr>
      </w:pPr>
      <w:r>
        <w:rPr>
          <w:rFonts w:hint="eastAsia" w:ascii="Arial" w:hAnsi="Arial" w:cs="Arial"/>
          <w:color w:val="auto"/>
          <w:sz w:val="24"/>
          <w:szCs w:val="24"/>
          <w:lang w:val="en-US" w:eastAsia="zh-CN"/>
        </w:rPr>
        <w:t>3.</w:t>
      </w:r>
      <w:r>
        <w:rPr>
          <w:rFonts w:hint="eastAsia" w:ascii="宋体" w:hAnsi="宋体"/>
          <w:color w:val="auto"/>
          <w:sz w:val="24"/>
          <w:szCs w:val="24"/>
        </w:rPr>
        <w:t>交货期：供应商自报最短交货期。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4.</w:t>
      </w:r>
      <w:r>
        <w:rPr>
          <w:rFonts w:hint="eastAsia" w:ascii="宋体" w:hAnsi="宋体"/>
          <w:color w:val="auto"/>
          <w:sz w:val="24"/>
          <w:szCs w:val="24"/>
        </w:rPr>
        <w:t>交货地点：采购人指定地点。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val="en-US" w:eastAsia="zh-CN"/>
        </w:rPr>
        <w:t>.</w:t>
      </w:r>
      <w:r>
        <w:rPr>
          <w:rFonts w:hint="eastAsia" w:ascii="宋体" w:hAnsi="宋体"/>
          <w:color w:val="auto"/>
          <w:sz w:val="24"/>
          <w:szCs w:val="24"/>
        </w:rPr>
        <w:t>资金来源：已落实。</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val="en-US" w:eastAsia="zh-CN"/>
        </w:rPr>
        <w:t>.</w:t>
      </w:r>
      <w:r>
        <w:rPr>
          <w:rFonts w:hint="eastAsia" w:ascii="宋体" w:hAnsi="宋体"/>
          <w:color w:val="auto"/>
          <w:sz w:val="24"/>
          <w:szCs w:val="24"/>
        </w:rPr>
        <w:t>采购预算：</w:t>
      </w:r>
      <w:r>
        <w:rPr>
          <w:rFonts w:hint="eastAsia" w:ascii="宋体" w:hAnsi="宋体"/>
          <w:color w:val="auto"/>
          <w:sz w:val="24"/>
          <w:szCs w:val="24"/>
          <w:lang w:eastAsia="zh-CN"/>
        </w:rPr>
        <w:t>叁万零叁佰元（</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r>
        <w:rPr>
          <w:rFonts w:hint="eastAsia" w:ascii="宋体" w:hAnsi="宋体"/>
          <w:color w:val="auto"/>
          <w:sz w:val="24"/>
          <w:szCs w:val="24"/>
          <w:lang w:val="en-US" w:eastAsia="zh-CN"/>
        </w:rPr>
        <w:t>300</w:t>
      </w:r>
      <w:r>
        <w:rPr>
          <w:rFonts w:hint="eastAsia" w:ascii="宋体" w:hAnsi="宋体"/>
          <w:color w:val="auto"/>
          <w:sz w:val="24"/>
          <w:szCs w:val="24"/>
        </w:rPr>
        <w:t>.00元</w:t>
      </w:r>
      <w:r>
        <w:rPr>
          <w:rFonts w:hint="eastAsia" w:ascii="宋体" w:hAnsi="宋体"/>
          <w:color w:val="auto"/>
          <w:sz w:val="24"/>
          <w:szCs w:val="24"/>
          <w:lang w:eastAsia="zh-CN"/>
        </w:rPr>
        <w:t>）</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7.</w:t>
      </w:r>
      <w:r>
        <w:rPr>
          <w:rFonts w:hint="eastAsia" w:ascii="宋体" w:hAnsi="宋体"/>
          <w:color w:val="auto"/>
          <w:sz w:val="24"/>
          <w:szCs w:val="24"/>
        </w:rPr>
        <w:t>公告的媒体</w:t>
      </w:r>
      <w:r>
        <w:rPr>
          <w:rFonts w:hint="eastAsia" w:ascii="宋体" w:hAnsi="宋体"/>
          <w:color w:val="auto"/>
          <w:sz w:val="24"/>
          <w:szCs w:val="24"/>
          <w:lang w:val="en-US" w:eastAsia="zh-CN"/>
        </w:rPr>
        <w:t>:</w:t>
      </w:r>
      <w:r>
        <w:rPr>
          <w:rFonts w:hint="eastAsia" w:ascii="宋体" w:hAnsi="宋体"/>
          <w:color w:val="auto"/>
          <w:sz w:val="24"/>
          <w:szCs w:val="24"/>
        </w:rPr>
        <w:t>本项目公告在《昆明理工大学校园网》和《昆明理工教育发展有限公司网》上发布。</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outlineLvl w:val="9"/>
        <w:rPr>
          <w:rFonts w:hint="eastAsia" w:ascii="宋体" w:hAnsi="宋体" w:eastAsia="宋体"/>
          <w:b/>
          <w:bCs w:val="0"/>
          <w:color w:val="auto"/>
          <w:sz w:val="24"/>
          <w:szCs w:val="24"/>
        </w:rPr>
      </w:pPr>
      <w:r>
        <w:rPr>
          <w:rFonts w:hint="eastAsia" w:ascii="宋体" w:hAnsi="宋体" w:eastAsia="宋体"/>
          <w:b/>
          <w:bCs w:val="0"/>
          <w:color w:val="auto"/>
          <w:sz w:val="24"/>
          <w:szCs w:val="24"/>
        </w:rPr>
        <w:t>采购内容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 w:val="24"/>
          <w:szCs w:val="24"/>
          <w:lang w:val="en-US" w:eastAsia="zh-CN"/>
        </w:rPr>
      </w:pPr>
      <w:r>
        <w:rPr>
          <w:rFonts w:hint="eastAsia" w:ascii="宋体" w:hAnsi="宋体" w:eastAsia="黑体"/>
          <w:color w:val="auto"/>
          <w:sz w:val="24"/>
          <w:szCs w:val="24"/>
          <w:lang w:val="en-US" w:eastAsia="zh-CN"/>
        </w:rPr>
        <w:t>1.</w:t>
      </w:r>
      <w:bookmarkStart w:id="0" w:name="_Toc491424396"/>
      <w:r>
        <w:rPr>
          <w:rFonts w:hint="eastAsia" w:ascii="宋体" w:hAnsi="宋体"/>
          <w:color w:val="auto"/>
          <w:sz w:val="24"/>
          <w:szCs w:val="24"/>
          <w:lang w:eastAsia="zh-CN"/>
        </w:rPr>
        <w:t>昆明理工大学附属小学鼓号队装备的</w:t>
      </w:r>
      <w:r>
        <w:rPr>
          <w:rFonts w:hint="eastAsia" w:ascii="宋体" w:hAnsi="宋体"/>
          <w:color w:val="auto"/>
          <w:sz w:val="24"/>
          <w:szCs w:val="24"/>
          <w:lang w:eastAsia="zh-CN"/>
        </w:rPr>
        <w:t>物品规格和具体参数见表</w:t>
      </w:r>
      <w:r>
        <w:rPr>
          <w:rFonts w:hint="eastAsia" w:ascii="宋体" w:hAnsi="宋体"/>
          <w:color w:val="auto"/>
          <w:sz w:val="24"/>
          <w:szCs w:val="24"/>
          <w:lang w:val="en-US" w:eastAsia="zh-CN"/>
        </w:rPr>
        <w:t>1.1</w:t>
      </w:r>
      <w:r>
        <w:rPr>
          <w:rFonts w:hint="eastAsia" w:ascii="宋体" w:hAnsi="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olor w:val="auto"/>
          <w:sz w:val="21"/>
          <w:szCs w:val="21"/>
          <w:lang w:val="en-US" w:eastAsia="zh-CN"/>
        </w:rPr>
      </w:pPr>
      <w:r>
        <w:rPr>
          <w:rFonts w:hint="eastAsia" w:ascii="宋体" w:hAnsi="宋体"/>
          <w:b/>
          <w:bCs/>
          <w:color w:val="auto"/>
          <w:sz w:val="21"/>
          <w:szCs w:val="21"/>
          <w:lang w:val="en-US" w:eastAsia="zh-CN"/>
        </w:rPr>
        <w:t>表1.1</w:t>
      </w:r>
      <w:r>
        <w:rPr>
          <w:rFonts w:hint="eastAsia" w:ascii="Arial" w:hAnsi="Arial" w:cs="Arial"/>
          <w:b/>
          <w:bCs/>
          <w:color w:val="auto"/>
          <w:sz w:val="21"/>
          <w:szCs w:val="21"/>
          <w:lang w:eastAsia="zh-CN"/>
        </w:rPr>
        <w:t>昆明理工大学附属小学鼓号队装备</w:t>
      </w:r>
      <w:r>
        <w:rPr>
          <w:rFonts w:hint="eastAsia" w:ascii="宋体" w:hAnsi="宋体"/>
          <w:b/>
          <w:bCs/>
          <w:color w:val="auto"/>
          <w:sz w:val="21"/>
          <w:szCs w:val="21"/>
          <w:lang w:eastAsia="zh-CN"/>
        </w:rPr>
        <w:t>询价</w:t>
      </w:r>
      <w:r>
        <w:rPr>
          <w:rFonts w:hint="eastAsia" w:ascii="宋体" w:hAnsi="宋体"/>
          <w:b/>
          <w:bCs/>
          <w:color w:val="auto"/>
          <w:sz w:val="21"/>
          <w:szCs w:val="21"/>
        </w:rPr>
        <w:t>采购项</w:t>
      </w:r>
      <w:r>
        <w:rPr>
          <w:rFonts w:hint="eastAsia" w:ascii="宋体" w:hAnsi="宋体"/>
          <w:b/>
          <w:bCs/>
          <w:color w:val="auto"/>
          <w:sz w:val="21"/>
          <w:szCs w:val="21"/>
          <w:lang w:eastAsia="zh-CN"/>
        </w:rPr>
        <w:t>目技术规格表</w:t>
      </w:r>
      <w:bookmarkEnd w:id="0"/>
    </w:p>
    <w:tbl>
      <w:tblPr>
        <w:tblStyle w:val="7"/>
        <w:tblW w:w="82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
        <w:gridCol w:w="1077"/>
        <w:gridCol w:w="5936"/>
        <w:gridCol w:w="467"/>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产品（项目）名称</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规格（技术参数、性能要求）</w:t>
            </w:r>
            <w:r>
              <w:rPr>
                <w:rFonts w:hint="eastAsia" w:ascii="宋体" w:hAnsi="宋体" w:eastAsia="宋体" w:cs="宋体"/>
                <w:b/>
                <w:i w:val="0"/>
                <w:color w:val="auto"/>
                <w:kern w:val="0"/>
                <w:sz w:val="18"/>
                <w:szCs w:val="18"/>
                <w:u w:val="none"/>
                <w:lang w:val="en-US" w:eastAsia="zh-CN" w:bidi="ar"/>
              </w:rPr>
              <w:br w:type="textWrapping"/>
            </w:r>
            <w:r>
              <w:rPr>
                <w:rFonts w:hint="eastAsia" w:ascii="宋体" w:hAnsi="宋体" w:eastAsia="宋体" w:cs="宋体"/>
                <w:b/>
                <w:i w:val="0"/>
                <w:color w:val="auto"/>
                <w:kern w:val="0"/>
                <w:sz w:val="18"/>
                <w:szCs w:val="18"/>
                <w:u w:val="none"/>
                <w:lang w:val="en-US" w:eastAsia="zh-CN" w:bidi="ar"/>
              </w:rPr>
              <w:t>（每行最多1000个汉字）</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数量</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计量</w:t>
            </w:r>
            <w:r>
              <w:rPr>
                <w:rFonts w:hint="eastAsia" w:ascii="宋体" w:hAnsi="宋体" w:eastAsia="宋体" w:cs="宋体"/>
                <w:b/>
                <w:i w:val="0"/>
                <w:color w:val="auto"/>
                <w:kern w:val="0"/>
                <w:sz w:val="18"/>
                <w:szCs w:val="18"/>
                <w:u w:val="none"/>
                <w:lang w:val="en-US" w:eastAsia="zh-CN" w:bidi="ar"/>
              </w:rPr>
              <w:br w:type="textWrapping"/>
            </w:r>
            <w:r>
              <w:rPr>
                <w:rFonts w:hint="eastAsia" w:ascii="宋体" w:hAnsi="宋体" w:eastAsia="宋体" w:cs="宋体"/>
                <w:b/>
                <w:i w:val="0"/>
                <w:color w:val="auto"/>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8"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高档不锈钢大军鼓</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940"/>
              </w:tabs>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规格：鼓皮直径56CM，外圈直径57.2CM，鼓桶高度25.5CM</w:t>
            </w:r>
          </w:p>
          <w:p>
            <w:pPr>
              <w:keepNext w:val="0"/>
              <w:keepLines w:val="0"/>
              <w:widowControl/>
              <w:suppressLineNumbers w:val="0"/>
              <w:tabs>
                <w:tab w:val="left" w:pos="2940"/>
              </w:tabs>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材质：高档不锈铁压圈，镜面不锈钢鼓桶</w:t>
            </w:r>
          </w:p>
          <w:p>
            <w:pPr>
              <w:keepNext w:val="0"/>
              <w:keepLines w:val="0"/>
              <w:widowControl/>
              <w:suppressLineNumbers w:val="0"/>
              <w:tabs>
                <w:tab w:val="left" w:pos="2940"/>
              </w:tabs>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附件：配专业铝合金大鼓背架，羊毛毡大鼓锤1个</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9"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高档不锈钢小军鼓</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940"/>
              </w:tabs>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规格：鼓皮直径33CM，外圈直径34.5CM，鼓桶高度14CM </w:t>
            </w:r>
          </w:p>
          <w:p>
            <w:pPr>
              <w:keepNext w:val="0"/>
              <w:keepLines w:val="0"/>
              <w:widowControl/>
              <w:suppressLineNumbers w:val="0"/>
              <w:tabs>
                <w:tab w:val="left" w:pos="2940"/>
              </w:tabs>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材质：高档不锈铁压圈，镜面不锈钢鼓桶 </w:t>
            </w:r>
          </w:p>
          <w:p>
            <w:pPr>
              <w:keepNext w:val="0"/>
              <w:keepLines w:val="0"/>
              <w:widowControl/>
              <w:suppressLineNumbers w:val="0"/>
              <w:tabs>
                <w:tab w:val="left" w:pos="2940"/>
              </w:tabs>
              <w:jc w:val="left"/>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附件：配专业铝合金小鼓背架，32CM小鼓棒一副，沙带1个</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7"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大镲</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直径：25CM           材质：优质响铜，重量约0.8公斤</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3"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小镲</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直径：15CM           材质：优质响铜，重量约0.4公斤</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1"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指挥棒</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规格：120公分，      材质：铜 两节型</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9"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队号</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颜色：黄色    规格：C调      材质：铜     附件：号嘴一个</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4"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鼓号服</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（男）上衣：涤纶面料双层       裤子：涤纶面料单层            </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帽子:内里采用环保PE材质，外包裹棉布和金属饰品，不含羽毛</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4"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鼓号服</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（女）上衣：涤纶面料双层          裙子：涤纶面料单层            </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帽子:内里采用环保PE材质，外包裹棉布和金属饰品，不含羽毛</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3"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指挥服</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（男）上衣：涤纶面料双层       裤子：涤纶面料单层            </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帽子:内里采用环保PE材质，外包裹棉布和金属饰品，不含羽毛</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7"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指挥服</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（女）上衣：涤纶面料双层          裙子：涤纶面料单层             </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帽子:内里采用环保PE材质，外包裹棉布和金属饰品，不含羽毛</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件</w:t>
            </w:r>
          </w:p>
        </w:tc>
      </w:tr>
    </w:tbl>
    <w:p>
      <w:pPr>
        <w:pStyle w:val="9"/>
        <w:numPr>
          <w:ilvl w:val="0"/>
          <w:numId w:val="0"/>
        </w:numPr>
        <w:ind w:leftChars="0"/>
        <w:rPr>
          <w:rFonts w:hint="eastAsia" w:hAnsi="宋体" w:asciiTheme="minorHAnsi" w:eastAsiaTheme="minorEastAsia" w:cstheme="minorBidi"/>
          <w:color w:val="auto"/>
          <w:kern w:val="2"/>
          <w:sz w:val="21"/>
          <w:szCs w:val="21"/>
          <w:highlight w:val="none"/>
          <w:lang w:val="en-US" w:eastAsia="zh-CN" w:bidi="ar-SA"/>
        </w:rPr>
      </w:pPr>
      <w:r>
        <w:rPr>
          <w:rFonts w:hint="eastAsia" w:hAnsi="宋体" w:asciiTheme="minorHAnsi" w:eastAsiaTheme="minorEastAsia" w:cstheme="minorBidi"/>
          <w:b/>
          <w:bCs/>
          <w:color w:val="auto"/>
          <w:kern w:val="2"/>
          <w:sz w:val="21"/>
          <w:szCs w:val="21"/>
          <w:highlight w:val="none"/>
          <w:lang w:val="en-US" w:eastAsia="zh-CN" w:bidi="ar-SA"/>
        </w:rPr>
        <w:t>注:</w:t>
      </w:r>
      <w:r>
        <w:rPr>
          <w:rFonts w:hint="eastAsia" w:hAnsi="宋体" w:asciiTheme="minorHAnsi" w:eastAsiaTheme="minorEastAsia" w:cstheme="minorBidi"/>
          <w:color w:val="auto"/>
          <w:kern w:val="2"/>
          <w:sz w:val="21"/>
          <w:szCs w:val="21"/>
          <w:highlight w:val="none"/>
          <w:lang w:val="en-US" w:eastAsia="zh-CN" w:bidi="ar-SA"/>
        </w:rPr>
        <w:t>鼓号服和指挥服所用</w:t>
      </w:r>
      <w:r>
        <w:rPr>
          <w:rFonts w:hint="eastAsia" w:hAnsi="宋体" w:asciiTheme="minorHAnsi" w:eastAsiaTheme="minorEastAsia" w:cstheme="minorBidi"/>
          <w:color w:val="auto"/>
          <w:kern w:val="2"/>
          <w:sz w:val="21"/>
          <w:szCs w:val="21"/>
          <w:highlight w:val="none"/>
          <w:lang w:val="en-US" w:eastAsia="zh-CN" w:bidi="ar-SA"/>
        </w:rPr>
        <w:t>款式和颜色，由采购方和供货方协商确定，并出图签字确认</w:t>
      </w:r>
      <w:r>
        <w:rPr>
          <w:rFonts w:hint="eastAsia" w:hAnsi="宋体" w:asciiTheme="minorHAnsi" w:eastAsiaTheme="minorEastAsia" w:cstheme="minorBidi"/>
          <w:color w:val="auto"/>
          <w:kern w:val="2"/>
          <w:sz w:val="21"/>
          <w:szCs w:val="21"/>
          <w:highlight w:val="none"/>
          <w:lang w:val="en-US" w:eastAsia="zh-CN" w:bidi="ar-SA"/>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outlineLvl w:val="9"/>
        <w:rPr>
          <w:rFonts w:hint="eastAsia" w:ascii="宋体" w:hAnsi="宋体" w:eastAsia="宋体"/>
          <w:b/>
          <w:bCs w:val="0"/>
          <w:color w:val="auto"/>
          <w:sz w:val="24"/>
          <w:szCs w:val="24"/>
        </w:rPr>
      </w:pPr>
      <w:r>
        <w:rPr>
          <w:rFonts w:hint="eastAsia" w:ascii="宋体" w:hAnsi="宋体" w:eastAsia="宋体"/>
          <w:b/>
          <w:bCs w:val="0"/>
          <w:color w:val="auto"/>
          <w:sz w:val="24"/>
          <w:szCs w:val="24"/>
          <w:lang w:eastAsia="zh-CN"/>
        </w:rPr>
        <w:t>质量保证</w:t>
      </w:r>
      <w:bookmarkStart w:id="5" w:name="_GoBack"/>
      <w:bookmarkEnd w:id="5"/>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1.质保年限：本单位承诺对昆明理工大学附属小学鼓号队装备的质保为</w:t>
      </w:r>
      <w:r>
        <w:rPr>
          <w:rFonts w:hint="eastAsia" w:ascii="宋体" w:hAnsi="宋体" w:eastAsiaTheme="minorEastAsia" w:cstheme="minorBidi"/>
          <w:color w:val="auto"/>
          <w:kern w:val="2"/>
          <w:sz w:val="24"/>
          <w:szCs w:val="24"/>
          <w:u w:val="single"/>
          <w:lang w:val="en-US" w:eastAsia="zh-CN" w:bidi="ar-SA"/>
        </w:rPr>
        <w:t xml:space="preserve">     </w:t>
      </w:r>
      <w:r>
        <w:rPr>
          <w:rFonts w:hint="eastAsia" w:ascii="宋体" w:hAnsi="宋体" w:eastAsiaTheme="minorEastAsia" w:cstheme="minorBidi"/>
          <w:color w:val="auto"/>
          <w:kern w:val="2"/>
          <w:sz w:val="24"/>
          <w:szCs w:val="24"/>
          <w:lang w:val="en-US" w:eastAsia="zh-CN" w:bidi="ar-SA"/>
        </w:rPr>
        <w:t>年。</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2.本单位承诺昆明理工大学附属小学鼓号队装备供货周期为</w:t>
      </w:r>
      <w:r>
        <w:rPr>
          <w:rFonts w:hint="eastAsia" w:ascii="宋体" w:hAnsi="宋体" w:eastAsiaTheme="minorEastAsia" w:cstheme="minorBidi"/>
          <w:color w:val="auto"/>
          <w:kern w:val="2"/>
          <w:sz w:val="24"/>
          <w:szCs w:val="24"/>
          <w:u w:val="single"/>
          <w:lang w:val="en-US" w:eastAsia="zh-CN" w:bidi="ar-SA"/>
        </w:rPr>
        <w:t xml:space="preserve">    </w:t>
      </w:r>
      <w:r>
        <w:rPr>
          <w:rFonts w:hint="eastAsia" w:ascii="宋体" w:hAnsi="宋体" w:eastAsiaTheme="minorEastAsia" w:cstheme="minorBidi"/>
          <w:color w:val="auto"/>
          <w:kern w:val="2"/>
          <w:sz w:val="24"/>
          <w:szCs w:val="24"/>
          <w:lang w:val="en-US" w:eastAsia="zh-CN" w:bidi="ar-SA"/>
        </w:rPr>
        <w:t>日历天。</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Theme="minorEastAsia" w:cstheme="minorBidi"/>
          <w:color w:val="auto"/>
          <w:kern w:val="2"/>
          <w:sz w:val="24"/>
          <w:szCs w:val="24"/>
          <w:lang w:val="en-US" w:eastAsia="zh-CN" w:bidi="ar-SA"/>
        </w:rPr>
      </w:pPr>
      <w:r>
        <w:rPr>
          <w:rFonts w:hint="eastAsia" w:ascii="宋体" w:hAnsi="宋体" w:cstheme="minorBidi"/>
          <w:color w:val="auto"/>
          <w:kern w:val="2"/>
          <w:sz w:val="24"/>
          <w:szCs w:val="24"/>
          <w:lang w:val="en-US" w:eastAsia="zh-CN" w:bidi="ar-SA"/>
        </w:rPr>
        <w:t>3.本单位</w:t>
      </w:r>
      <w:r>
        <w:rPr>
          <w:rFonts w:hint="eastAsia" w:ascii="宋体" w:hAnsi="宋体" w:eastAsiaTheme="minorEastAsia" w:cstheme="minorBidi"/>
          <w:color w:val="auto"/>
          <w:kern w:val="2"/>
          <w:sz w:val="24"/>
          <w:szCs w:val="24"/>
          <w:lang w:val="en-US" w:eastAsia="zh-CN" w:bidi="ar-SA"/>
        </w:rPr>
        <w:t>承诺鼓号服和指挥服</w:t>
      </w:r>
      <w:r>
        <w:rPr>
          <w:rFonts w:hint="eastAsia" w:asciiTheme="minorEastAsia" w:hAnsiTheme="minorEastAsia" w:eastAsiaTheme="minorEastAsia" w:cstheme="minorEastAsia"/>
          <w:color w:val="auto"/>
          <w:sz w:val="24"/>
          <w:szCs w:val="24"/>
        </w:rPr>
        <w:t>均按国家标准控制品质，</w:t>
      </w:r>
      <w:r>
        <w:rPr>
          <w:rFonts w:hint="eastAsia" w:asciiTheme="minorEastAsia" w:hAnsiTheme="minorEastAsia" w:eastAsiaTheme="minorEastAsia" w:cstheme="minorEastAsia"/>
          <w:color w:val="auto"/>
          <w:sz w:val="24"/>
          <w:szCs w:val="24"/>
        </w:rPr>
        <w:t>符合</w:t>
      </w:r>
      <w:r>
        <w:rPr>
          <w:rFonts w:hint="eastAsia" w:asciiTheme="minorEastAsia" w:hAnsiTheme="minorEastAsia" w:eastAsiaTheme="minorEastAsia" w:cstheme="minorEastAsia"/>
          <w:color w:val="auto"/>
          <w:sz w:val="24"/>
          <w:szCs w:val="24"/>
          <w:u w:val="single"/>
        </w:rPr>
        <w:t>GB/T31888-2015，GB/T18401-2010</w:t>
      </w:r>
      <w:r>
        <w:rPr>
          <w:rFonts w:hint="eastAsia" w:asciiTheme="minorEastAsia" w:hAnsiTheme="minorEastAsia" w:cstheme="minorEastAsia"/>
          <w:color w:val="auto"/>
          <w:sz w:val="24"/>
          <w:szCs w:val="24"/>
          <w:u w:val="single"/>
          <w:lang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outlineLvl w:val="9"/>
        <w:rPr>
          <w:rFonts w:hint="eastAsia" w:ascii="宋体" w:hAnsi="宋体" w:eastAsia="宋体"/>
          <w:b/>
          <w:bCs w:val="0"/>
          <w:color w:val="auto"/>
          <w:sz w:val="24"/>
          <w:szCs w:val="24"/>
          <w:lang w:eastAsia="zh-CN"/>
        </w:rPr>
      </w:pPr>
      <w:r>
        <w:rPr>
          <w:rFonts w:hint="eastAsia" w:ascii="宋体" w:hAnsi="宋体" w:eastAsia="宋体"/>
          <w:b/>
          <w:bCs w:val="0"/>
          <w:color w:val="auto"/>
          <w:sz w:val="24"/>
          <w:szCs w:val="24"/>
          <w:lang w:eastAsia="zh-CN"/>
        </w:rPr>
        <w:t>评标办法</w:t>
      </w:r>
    </w:p>
    <w:p>
      <w:pPr>
        <w:spacing w:line="360" w:lineRule="auto"/>
        <w:ind w:left="0" w:leftChars="0" w:firstLine="480" w:firstLineChars="200"/>
        <w:jc w:val="left"/>
        <w:rPr>
          <w:rFonts w:hint="eastAsia" w:hAnsi="宋体" w:eastAsiaTheme="minorEastAsia"/>
          <w:color w:val="auto"/>
          <w:szCs w:val="21"/>
          <w:highlight w:val="none"/>
          <w:lang w:eastAsia="zh-CN"/>
        </w:rPr>
      </w:pPr>
      <w:r>
        <w:rPr>
          <w:rFonts w:hint="eastAsia" w:ascii="宋体" w:hAnsi="宋体"/>
          <w:color w:val="auto"/>
          <w:sz w:val="24"/>
          <w:szCs w:val="24"/>
        </w:rPr>
        <w:t>详细评审标准</w:t>
      </w:r>
      <w:r>
        <w:rPr>
          <w:rFonts w:hint="eastAsia" w:ascii="宋体" w:hAnsi="宋体"/>
          <w:color w:val="auto"/>
          <w:sz w:val="24"/>
          <w:szCs w:val="24"/>
          <w:lang w:eastAsia="zh-CN"/>
        </w:rPr>
        <w:t>见表</w:t>
      </w:r>
      <w:r>
        <w:rPr>
          <w:rFonts w:hint="eastAsia" w:ascii="宋体" w:hAnsi="宋体"/>
          <w:color w:val="auto"/>
          <w:sz w:val="24"/>
          <w:szCs w:val="24"/>
          <w:lang w:val="en-US" w:eastAsia="zh-CN"/>
        </w:rPr>
        <w:t>4.1</w:t>
      </w:r>
      <w:r>
        <w:rPr>
          <w:rFonts w:hint="eastAsia" w:ascii="宋体" w:hAnsi="宋体"/>
          <w:color w:val="auto"/>
          <w:sz w:val="24"/>
          <w:szCs w:val="24"/>
          <w:lang w:eastAsia="zh-CN"/>
        </w:rPr>
        <w:t>评审前附表，</w:t>
      </w:r>
      <w:r>
        <w:rPr>
          <w:rFonts w:hint="eastAsia" w:ascii="宋体" w:hAnsi="宋体"/>
          <w:color w:val="auto"/>
          <w:sz w:val="24"/>
          <w:szCs w:val="24"/>
        </w:rPr>
        <w:t>评审得分=F1＋F2＋F3</w:t>
      </w:r>
      <w:r>
        <w:rPr>
          <w:rFonts w:hint="eastAsia" w:ascii="宋体" w:hAnsi="宋体"/>
          <w:color w:val="auto"/>
          <w:sz w:val="24"/>
          <w:szCs w:val="24"/>
          <w:lang w:eastAsia="zh-CN"/>
        </w:rPr>
        <w:t>，</w:t>
      </w:r>
      <w:r>
        <w:rPr>
          <w:rFonts w:hint="eastAsia" w:ascii="宋体" w:hAnsi="宋体"/>
          <w:color w:val="auto"/>
          <w:sz w:val="24"/>
          <w:szCs w:val="24"/>
        </w:rPr>
        <w:t>采购人从评审报告提出的成交候选供应商中，按照排序由高到低的原则确定成交供应商。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olor w:val="auto"/>
          <w:sz w:val="24"/>
          <w:szCs w:val="24"/>
          <w:lang w:val="en-US" w:eastAsia="zh-CN"/>
        </w:rPr>
      </w:pPr>
      <w:r>
        <w:rPr>
          <w:rFonts w:hint="eastAsia" w:hAnsi="宋体"/>
          <w:color w:val="auto"/>
          <w:szCs w:val="21"/>
          <w:highlight w:val="none"/>
          <w:lang w:val="en-US" w:eastAsia="zh-CN"/>
        </w:rPr>
        <w:t>4.1</w:t>
      </w:r>
      <w:r>
        <w:rPr>
          <w:rFonts w:hint="eastAsia" w:hAnsi="宋体"/>
          <w:color w:val="auto"/>
          <w:szCs w:val="21"/>
          <w:highlight w:val="none"/>
          <w:lang w:eastAsia="zh-CN"/>
        </w:rPr>
        <w:t>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color w:val="auto"/>
                <w:szCs w:val="21"/>
                <w:highlight w:val="none"/>
              </w:rPr>
            </w:pPr>
            <w:r>
              <w:rPr>
                <w:rFonts w:hint="eastAsia" w:hAnsi="宋体"/>
                <w:b/>
                <w:color w:val="auto"/>
                <w:szCs w:val="21"/>
                <w:highlight w:val="none"/>
              </w:rPr>
              <w:t>评 审 内 容</w:t>
            </w:r>
          </w:p>
        </w:tc>
        <w:tc>
          <w:tcPr>
            <w:tcW w:w="6360" w:type="dxa"/>
            <w:vAlign w:val="center"/>
          </w:tcPr>
          <w:p>
            <w:pPr>
              <w:spacing w:before="100" w:beforeAutospacing="1" w:after="100" w:afterAutospacing="1"/>
              <w:jc w:val="center"/>
              <w:rPr>
                <w:rFonts w:hAnsi="宋体"/>
                <w:b/>
                <w:color w:val="auto"/>
                <w:szCs w:val="21"/>
                <w:highlight w:val="none"/>
              </w:rPr>
            </w:pPr>
            <w:r>
              <w:rPr>
                <w:rFonts w:hint="eastAsia" w:hAnsi="宋体"/>
                <w:b/>
                <w:color w:val="auto"/>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评审得分计算公式</w:t>
            </w:r>
          </w:p>
        </w:tc>
        <w:tc>
          <w:tcPr>
            <w:tcW w:w="6360" w:type="dxa"/>
            <w:vAlign w:val="center"/>
          </w:tcPr>
          <w:p>
            <w:pPr>
              <w:snapToGrid w:val="0"/>
              <w:rPr>
                <w:rFonts w:hint="eastAsia" w:hAnsi="宋体"/>
                <w:color w:val="auto"/>
                <w:szCs w:val="21"/>
                <w:highlight w:val="none"/>
              </w:rPr>
            </w:pPr>
            <w:r>
              <w:rPr>
                <w:rFonts w:hint="eastAsia" w:hAnsi="宋体"/>
                <w:color w:val="auto"/>
                <w:szCs w:val="21"/>
                <w:highlight w:val="none"/>
              </w:rPr>
              <w:t>供应商</w:t>
            </w:r>
            <w:r>
              <w:rPr>
                <w:rFonts w:hAnsi="宋体"/>
                <w:color w:val="auto"/>
                <w:szCs w:val="21"/>
                <w:highlight w:val="none"/>
              </w:rPr>
              <w:t>的</w:t>
            </w:r>
            <w:r>
              <w:rPr>
                <w:rFonts w:hint="eastAsia" w:hAnsi="宋体"/>
                <w:color w:val="auto"/>
                <w:szCs w:val="21"/>
                <w:highlight w:val="none"/>
              </w:rPr>
              <w:t>评审得分满分100分，</w:t>
            </w:r>
          </w:p>
          <w:p>
            <w:pPr>
              <w:rPr>
                <w:rFonts w:hAnsi="宋体"/>
                <w:color w:val="auto"/>
                <w:szCs w:val="21"/>
                <w:highlight w:val="none"/>
              </w:rPr>
            </w:pPr>
            <w:r>
              <w:rPr>
                <w:rFonts w:hint="eastAsia" w:hAnsi="宋体"/>
                <w:color w:val="auto"/>
                <w:szCs w:val="21"/>
                <w:highlight w:val="none"/>
              </w:rPr>
              <w:t>供应商</w:t>
            </w:r>
            <w:r>
              <w:rPr>
                <w:rFonts w:hAnsi="宋体"/>
                <w:color w:val="auto"/>
                <w:szCs w:val="21"/>
                <w:highlight w:val="none"/>
              </w:rPr>
              <w:t>的</w:t>
            </w:r>
            <w:r>
              <w:rPr>
                <w:rFonts w:hint="eastAsia" w:hAnsi="宋体"/>
                <w:color w:val="auto"/>
                <w:szCs w:val="21"/>
                <w:highlight w:val="none"/>
              </w:rPr>
              <w:t>评审得分</w:t>
            </w:r>
            <w:r>
              <w:rPr>
                <w:rFonts w:hAnsi="宋体"/>
                <w:color w:val="auto"/>
                <w:szCs w:val="21"/>
                <w:highlight w:val="none"/>
              </w:rPr>
              <w:t>＝</w:t>
            </w:r>
            <w:r>
              <w:rPr>
                <w:rFonts w:hint="eastAsia"/>
                <w:color w:val="auto"/>
                <w:highlight w:val="none"/>
              </w:rPr>
              <w:t xml:space="preserve"> </w:t>
            </w:r>
            <w:r>
              <w:rPr>
                <w:rFonts w:hint="eastAsia" w:hAnsi="宋体"/>
                <w:color w:val="auto"/>
                <w:kern w:val="2"/>
                <w:highlight w:val="none"/>
              </w:rPr>
              <w:t>F1＋F2＋F3</w:t>
            </w:r>
          </w:p>
          <w:p>
            <w:pPr>
              <w:rPr>
                <w:rFonts w:hAnsi="宋体"/>
                <w:color w:val="auto"/>
                <w:szCs w:val="21"/>
                <w:highlight w:val="none"/>
              </w:rPr>
            </w:pPr>
            <w:r>
              <w:rPr>
                <w:rFonts w:hAnsi="宋体"/>
                <w:color w:val="auto"/>
                <w:szCs w:val="21"/>
                <w:highlight w:val="none"/>
              </w:rPr>
              <w:t>其中：F1、F2、F3分别为报价</w:t>
            </w:r>
            <w:r>
              <w:rPr>
                <w:rFonts w:hint="eastAsia" w:hAnsi="宋体"/>
                <w:color w:val="auto"/>
                <w:szCs w:val="21"/>
                <w:highlight w:val="none"/>
              </w:rPr>
              <w:t>评分</w:t>
            </w:r>
            <w:r>
              <w:rPr>
                <w:rFonts w:hAnsi="宋体"/>
                <w:color w:val="auto"/>
                <w:szCs w:val="21"/>
                <w:highlight w:val="none"/>
              </w:rPr>
              <w:t>、技术部分</w:t>
            </w:r>
            <w:r>
              <w:rPr>
                <w:rFonts w:hint="eastAsia" w:hAnsi="宋体"/>
                <w:color w:val="auto"/>
                <w:szCs w:val="21"/>
                <w:highlight w:val="none"/>
              </w:rPr>
              <w:t>评分、商务</w:t>
            </w:r>
            <w:r>
              <w:rPr>
                <w:rFonts w:hAnsi="宋体"/>
                <w:color w:val="auto"/>
                <w:szCs w:val="21"/>
                <w:highlight w:val="none"/>
              </w:rPr>
              <w:t>部分</w:t>
            </w:r>
            <w:r>
              <w:rPr>
                <w:rFonts w:hint="eastAsia" w:hAnsi="宋体"/>
                <w:color w:val="auto"/>
                <w:szCs w:val="21"/>
                <w:highlight w:val="none"/>
              </w:rPr>
              <w:t>评分</w:t>
            </w:r>
            <w:r>
              <w:rPr>
                <w:rFonts w:hAnsi="宋体"/>
                <w:color w:val="auto"/>
                <w:szCs w:val="21"/>
                <w:highlight w:val="none"/>
              </w:rPr>
              <w:t>3项评</w:t>
            </w:r>
            <w:r>
              <w:rPr>
                <w:rFonts w:hint="eastAsia" w:hAnsi="宋体"/>
                <w:color w:val="auto"/>
                <w:szCs w:val="21"/>
                <w:highlight w:val="none"/>
              </w:rPr>
              <w:t>审</w:t>
            </w:r>
            <w:r>
              <w:rPr>
                <w:rFonts w:hAnsi="宋体"/>
                <w:color w:val="auto"/>
                <w:szCs w:val="21"/>
                <w:highlight w:val="none"/>
              </w:rPr>
              <w:t>因素的汇总得分</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auto"/>
                <w:szCs w:val="21"/>
                <w:highlight w:val="none"/>
              </w:rPr>
            </w:pPr>
            <w:r>
              <w:rPr>
                <w:rFonts w:hint="eastAsia" w:hAnsi="宋体" w:cs="宋体"/>
                <w:color w:val="auto"/>
                <w:szCs w:val="21"/>
                <w:highlight w:val="none"/>
              </w:rPr>
              <w:t>2）</w:t>
            </w:r>
            <w:r>
              <w:rPr>
                <w:rFonts w:hint="eastAsia" w:hAnsi="宋体"/>
                <w:color w:val="auto"/>
                <w:szCs w:val="21"/>
                <w:highlight w:val="none"/>
              </w:rPr>
              <w:t>评审因素权重</w:t>
            </w:r>
          </w:p>
        </w:tc>
        <w:tc>
          <w:tcPr>
            <w:tcW w:w="6360" w:type="dxa"/>
            <w:vAlign w:val="center"/>
          </w:tcPr>
          <w:p>
            <w:pPr>
              <w:rPr>
                <w:rFonts w:hAnsi="宋体"/>
                <w:color w:val="auto"/>
                <w:szCs w:val="21"/>
                <w:highlight w:val="none"/>
              </w:rPr>
            </w:pPr>
            <w:r>
              <w:rPr>
                <w:rFonts w:hAnsi="宋体"/>
                <w:color w:val="auto"/>
                <w:szCs w:val="21"/>
                <w:highlight w:val="none"/>
              </w:rPr>
              <w:t>报价</w:t>
            </w:r>
            <w:r>
              <w:rPr>
                <w:rFonts w:hint="eastAsia" w:hAnsi="宋体"/>
                <w:color w:val="auto"/>
                <w:szCs w:val="21"/>
                <w:highlight w:val="none"/>
              </w:rPr>
              <w:t>评分</w:t>
            </w:r>
            <w:r>
              <w:rPr>
                <w:rFonts w:hAnsi="宋体"/>
                <w:color w:val="auto"/>
                <w:szCs w:val="21"/>
                <w:highlight w:val="none"/>
              </w:rPr>
              <w:t>F1</w:t>
            </w:r>
            <w:r>
              <w:rPr>
                <w:rFonts w:hint="eastAsia" w:hAnsi="宋体"/>
                <w:color w:val="auto"/>
                <w:szCs w:val="21"/>
                <w:highlight w:val="none"/>
              </w:rPr>
              <w:t>满分</w:t>
            </w:r>
            <w:r>
              <w:rPr>
                <w:rFonts w:hint="eastAsia" w:hAnsi="宋体"/>
                <w:color w:val="auto"/>
                <w:szCs w:val="21"/>
                <w:highlight w:val="none"/>
                <w:lang w:val="en-US" w:eastAsia="zh-CN"/>
              </w:rPr>
              <w:t>6</w:t>
            </w:r>
            <w:r>
              <w:rPr>
                <w:rFonts w:hint="eastAsia" w:hAnsi="宋体"/>
                <w:color w:val="auto"/>
                <w:szCs w:val="21"/>
                <w:highlight w:val="none"/>
              </w:rPr>
              <w:t>0</w:t>
            </w:r>
            <w:r>
              <w:rPr>
                <w:rFonts w:hAnsi="宋体"/>
                <w:color w:val="auto"/>
                <w:szCs w:val="21"/>
                <w:highlight w:val="none"/>
              </w:rPr>
              <w:t>分。</w:t>
            </w:r>
          </w:p>
          <w:p>
            <w:pPr>
              <w:rPr>
                <w:rFonts w:hint="eastAsia" w:hAnsi="宋体"/>
                <w:color w:val="auto"/>
                <w:szCs w:val="21"/>
                <w:highlight w:val="none"/>
              </w:rPr>
            </w:pPr>
            <w:r>
              <w:rPr>
                <w:rFonts w:hAnsi="宋体"/>
                <w:color w:val="auto"/>
                <w:szCs w:val="21"/>
                <w:highlight w:val="none"/>
              </w:rPr>
              <w:t>技术部分</w:t>
            </w:r>
            <w:r>
              <w:rPr>
                <w:rFonts w:hint="eastAsia" w:hAnsi="宋体"/>
                <w:color w:val="auto"/>
                <w:szCs w:val="21"/>
                <w:highlight w:val="none"/>
              </w:rPr>
              <w:t>评分</w:t>
            </w:r>
            <w:r>
              <w:rPr>
                <w:rFonts w:hAnsi="宋体"/>
                <w:color w:val="auto"/>
                <w:szCs w:val="21"/>
                <w:highlight w:val="none"/>
              </w:rPr>
              <w:t>F</w:t>
            </w:r>
            <w:r>
              <w:rPr>
                <w:rFonts w:hint="eastAsia" w:hAnsi="宋体"/>
                <w:color w:val="auto"/>
                <w:szCs w:val="21"/>
                <w:highlight w:val="none"/>
              </w:rPr>
              <w:t>2满分30</w:t>
            </w:r>
            <w:r>
              <w:rPr>
                <w:rFonts w:hAnsi="宋体"/>
                <w:color w:val="auto"/>
                <w:szCs w:val="21"/>
                <w:highlight w:val="none"/>
              </w:rPr>
              <w:t>分。</w:t>
            </w:r>
          </w:p>
          <w:p>
            <w:pPr>
              <w:rPr>
                <w:rFonts w:hAnsi="宋体"/>
                <w:color w:val="auto"/>
                <w:szCs w:val="21"/>
                <w:highlight w:val="none"/>
              </w:rPr>
            </w:pPr>
            <w:r>
              <w:rPr>
                <w:rFonts w:hint="eastAsia" w:hAnsi="宋体"/>
                <w:color w:val="auto"/>
                <w:szCs w:val="21"/>
                <w:highlight w:val="none"/>
              </w:rPr>
              <w:t>商务</w:t>
            </w:r>
            <w:r>
              <w:rPr>
                <w:rFonts w:hAnsi="宋体"/>
                <w:color w:val="auto"/>
                <w:szCs w:val="21"/>
                <w:highlight w:val="none"/>
              </w:rPr>
              <w:t>部分</w:t>
            </w:r>
            <w:r>
              <w:rPr>
                <w:rFonts w:hint="eastAsia" w:hAnsi="宋体"/>
                <w:color w:val="auto"/>
                <w:szCs w:val="21"/>
                <w:highlight w:val="none"/>
              </w:rPr>
              <w:t>评分</w:t>
            </w:r>
            <w:r>
              <w:rPr>
                <w:rFonts w:hAnsi="宋体"/>
                <w:color w:val="auto"/>
                <w:szCs w:val="21"/>
                <w:highlight w:val="none"/>
              </w:rPr>
              <w:t>F</w:t>
            </w:r>
            <w:r>
              <w:rPr>
                <w:rFonts w:hint="eastAsia" w:hAnsi="宋体"/>
                <w:color w:val="auto"/>
                <w:szCs w:val="21"/>
                <w:highlight w:val="none"/>
              </w:rPr>
              <w:t>3满分</w:t>
            </w:r>
            <w:r>
              <w:rPr>
                <w:rFonts w:hint="eastAsia" w:hAnsi="宋体"/>
                <w:color w:val="auto"/>
                <w:szCs w:val="21"/>
                <w:highlight w:val="none"/>
                <w:lang w:val="en-US" w:eastAsia="zh-CN"/>
              </w:rPr>
              <w:t>1</w:t>
            </w:r>
            <w:r>
              <w:rPr>
                <w:rFonts w:hint="eastAsia" w:hAnsi="宋体"/>
                <w:color w:val="auto"/>
                <w:szCs w:val="21"/>
                <w:highlight w:val="none"/>
              </w:rPr>
              <w:t>0</w:t>
            </w:r>
            <w:r>
              <w:rPr>
                <w:rFonts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color w:val="auto"/>
                <w:szCs w:val="21"/>
                <w:highlight w:val="none"/>
              </w:rPr>
            </w:pPr>
            <w:r>
              <w:rPr>
                <w:rFonts w:hint="eastAsia" w:hAnsi="宋体"/>
                <w:color w:val="auto"/>
                <w:szCs w:val="21"/>
                <w:highlight w:val="none"/>
              </w:rPr>
              <w:t>3）报价评分F1（满分</w:t>
            </w:r>
            <w:r>
              <w:rPr>
                <w:rFonts w:hint="eastAsia" w:hAnsi="宋体"/>
                <w:color w:val="auto"/>
                <w:szCs w:val="21"/>
                <w:highlight w:val="none"/>
                <w:lang w:val="en-US" w:eastAsia="zh-CN"/>
              </w:rPr>
              <w:t>6</w:t>
            </w:r>
            <w:r>
              <w:rPr>
                <w:rFonts w:hint="eastAsia" w:hAnsi="宋体"/>
                <w:color w:val="auto"/>
                <w:szCs w:val="21"/>
                <w:highlight w:val="none"/>
              </w:rPr>
              <w:t>0分）</w:t>
            </w:r>
          </w:p>
        </w:tc>
        <w:tc>
          <w:tcPr>
            <w:tcW w:w="6360" w:type="dxa"/>
            <w:tcBorders>
              <w:bottom w:val="single" w:color="auto" w:sz="4" w:space="0"/>
            </w:tcBorders>
            <w:vAlign w:val="center"/>
          </w:tcPr>
          <w:p>
            <w:pPr>
              <w:spacing w:line="300" w:lineRule="exact"/>
              <w:rPr>
                <w:rFonts w:hint="eastAsia" w:hAnsi="宋体"/>
                <w:color w:val="auto"/>
                <w:szCs w:val="21"/>
                <w:highlight w:val="none"/>
              </w:rPr>
            </w:pPr>
            <w:r>
              <w:rPr>
                <w:rFonts w:hint="eastAsia" w:hAnsi="宋体"/>
                <w:color w:val="auto"/>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int="eastAsia" w:hAnsi="宋体"/>
                <w:color w:val="auto"/>
                <w:szCs w:val="21"/>
                <w:highlight w:val="none"/>
              </w:rPr>
            </w:pPr>
            <w:r>
              <w:rPr>
                <w:rFonts w:hint="eastAsia" w:hAnsi="宋体"/>
                <w:color w:val="auto"/>
                <w:szCs w:val="21"/>
                <w:highlight w:val="none"/>
              </w:rPr>
              <w:t>磋商报价得分=（磋商基准价/最后磋商报价）×价格权值×100</w:t>
            </w:r>
          </w:p>
          <w:p>
            <w:pPr>
              <w:spacing w:line="300" w:lineRule="exact"/>
              <w:rPr>
                <w:rFonts w:hint="eastAsia" w:hAnsi="宋体" w:eastAsiaTheme="minorEastAsia"/>
                <w:color w:val="auto"/>
                <w:szCs w:val="21"/>
                <w:highlight w:val="none"/>
                <w:lang w:val="en-US" w:eastAsia="zh-CN"/>
              </w:rPr>
            </w:pPr>
            <w:r>
              <w:rPr>
                <w:rFonts w:hint="eastAsia" w:hAnsi="宋体"/>
                <w:color w:val="auto"/>
                <w:szCs w:val="21"/>
                <w:highlight w:val="none"/>
              </w:rPr>
              <w:t>其中价格权值为0.</w:t>
            </w:r>
            <w:r>
              <w:rPr>
                <w:rFonts w:hint="eastAsia" w:hAnsi="宋体"/>
                <w:color w:val="auto"/>
                <w:szCs w:val="21"/>
                <w:highlight w:val="none"/>
                <w:lang w:val="en-US" w:eastAsia="zh-CN"/>
              </w:rPr>
              <w:t>6</w:t>
            </w:r>
          </w:p>
          <w:p>
            <w:pPr>
              <w:spacing w:line="300" w:lineRule="exact"/>
              <w:rPr>
                <w:rFonts w:hAnsi="宋体"/>
                <w:color w:val="auto"/>
                <w:szCs w:val="21"/>
                <w:highlight w:val="none"/>
              </w:rPr>
            </w:pPr>
            <w:r>
              <w:rPr>
                <w:rFonts w:hint="eastAsia" w:hAnsi="宋体"/>
                <w:color w:val="auto"/>
                <w:szCs w:val="21"/>
                <w:highlight w:val="none"/>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auto"/>
                <w:szCs w:val="21"/>
                <w:highlight w:val="none"/>
              </w:rPr>
            </w:pPr>
            <w:r>
              <w:rPr>
                <w:rFonts w:hint="eastAsia" w:hAnsi="宋体"/>
                <w:color w:val="auto"/>
                <w:szCs w:val="21"/>
                <w:highlight w:val="none"/>
              </w:rPr>
              <w:t>4）技术部分评分F2（满分30分）</w:t>
            </w: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rPr>
              <w:t>1）产品参数的响应程度评审评分（满分</w:t>
            </w:r>
            <w:r>
              <w:rPr>
                <w:rFonts w:hint="eastAsia" w:hAnsi="宋体"/>
                <w:b/>
                <w:bCs/>
                <w:color w:val="auto"/>
                <w:szCs w:val="21"/>
                <w:highlight w:val="none"/>
                <w:lang w:val="en-US" w:eastAsia="zh-CN"/>
              </w:rPr>
              <w:t>2</w:t>
            </w:r>
            <w:r>
              <w:rPr>
                <w:rFonts w:hint="eastAsia" w:hAnsi="宋体"/>
                <w:b/>
                <w:bCs/>
                <w:color w:val="auto"/>
                <w:szCs w:val="21"/>
                <w:highlight w:val="none"/>
              </w:rPr>
              <w:t>0分）</w:t>
            </w:r>
          </w:p>
          <w:p>
            <w:pPr>
              <w:spacing w:line="300" w:lineRule="exact"/>
              <w:rPr>
                <w:rFonts w:hint="eastAsia" w:hAnsi="宋体"/>
                <w:color w:val="auto"/>
                <w:szCs w:val="21"/>
                <w:highlight w:val="none"/>
              </w:rPr>
            </w:pPr>
            <w:r>
              <w:rPr>
                <w:rFonts w:hint="eastAsia" w:hAnsi="宋体"/>
                <w:color w:val="auto"/>
                <w:szCs w:val="21"/>
                <w:highlight w:val="none"/>
              </w:rPr>
              <w:t>第一个档次[</w:t>
            </w:r>
            <w:r>
              <w:rPr>
                <w:rFonts w:hint="eastAsia" w:hAnsi="宋体"/>
                <w:color w:val="auto"/>
                <w:szCs w:val="21"/>
                <w:highlight w:val="none"/>
                <w:lang w:val="en-US" w:eastAsia="zh-CN"/>
              </w:rPr>
              <w:t>1</w:t>
            </w:r>
            <w:r>
              <w:rPr>
                <w:rFonts w:hint="eastAsia" w:hAnsi="宋体"/>
                <w:color w:val="auto"/>
                <w:szCs w:val="21"/>
                <w:highlight w:val="none"/>
              </w:rPr>
              <w:t>7-</w:t>
            </w:r>
            <w:r>
              <w:rPr>
                <w:rFonts w:hint="eastAsia" w:hAnsi="宋体"/>
                <w:color w:val="auto"/>
                <w:szCs w:val="21"/>
                <w:highlight w:val="none"/>
                <w:lang w:val="en-US" w:eastAsia="zh-CN"/>
              </w:rPr>
              <w:t>2</w:t>
            </w:r>
            <w:r>
              <w:rPr>
                <w:rFonts w:hint="eastAsia" w:hAnsi="宋体"/>
                <w:color w:val="auto"/>
                <w:szCs w:val="21"/>
                <w:highlight w:val="none"/>
              </w:rPr>
              <w:t>0]分：技术指标、参数满足或优于竞争性磋商文件规定的相应技术指标、参数的，且所选产品品牌信誉度、市场影响力较好；</w:t>
            </w:r>
          </w:p>
          <w:p>
            <w:pPr>
              <w:spacing w:line="300" w:lineRule="exact"/>
              <w:rPr>
                <w:rFonts w:hint="eastAsia" w:hAnsi="宋体"/>
                <w:color w:val="auto"/>
                <w:szCs w:val="21"/>
                <w:highlight w:val="none"/>
              </w:rPr>
            </w:pPr>
            <w:r>
              <w:rPr>
                <w:rFonts w:hint="eastAsia" w:hAnsi="宋体"/>
                <w:color w:val="auto"/>
                <w:szCs w:val="21"/>
                <w:highlight w:val="none"/>
              </w:rPr>
              <w:t>第二个档次[</w:t>
            </w:r>
            <w:r>
              <w:rPr>
                <w:rFonts w:hint="eastAsia" w:hAnsi="宋体"/>
                <w:color w:val="auto"/>
                <w:szCs w:val="21"/>
                <w:highlight w:val="none"/>
                <w:lang w:val="en-US" w:eastAsia="zh-CN"/>
              </w:rPr>
              <w:t>1</w:t>
            </w:r>
            <w:r>
              <w:rPr>
                <w:rFonts w:hint="eastAsia" w:hAnsi="宋体"/>
                <w:color w:val="auto"/>
                <w:szCs w:val="21"/>
                <w:highlight w:val="none"/>
              </w:rPr>
              <w:t>4-</w:t>
            </w:r>
            <w:r>
              <w:rPr>
                <w:rFonts w:hint="eastAsia" w:hAnsi="宋体"/>
                <w:color w:val="auto"/>
                <w:szCs w:val="21"/>
                <w:highlight w:val="none"/>
                <w:lang w:val="en-US" w:eastAsia="zh-CN"/>
              </w:rPr>
              <w:t>1</w:t>
            </w:r>
            <w:r>
              <w:rPr>
                <w:rFonts w:hint="eastAsia" w:hAnsi="宋体"/>
                <w:color w:val="auto"/>
                <w:szCs w:val="21"/>
                <w:highlight w:val="none"/>
              </w:rPr>
              <w:t>6]分：技术指标、参数满足竞争性磋商文件规定的相应技术指标、参数的，且产品知名度、信誉度好，有一定市场影响力；</w:t>
            </w:r>
          </w:p>
          <w:p>
            <w:pPr>
              <w:spacing w:line="300" w:lineRule="exact"/>
              <w:rPr>
                <w:rFonts w:hint="eastAsia" w:hAnsi="宋体"/>
                <w:color w:val="auto"/>
                <w:szCs w:val="21"/>
                <w:highlight w:val="none"/>
              </w:rPr>
            </w:pPr>
            <w:r>
              <w:rPr>
                <w:rFonts w:hint="eastAsia" w:hAnsi="宋体"/>
                <w:color w:val="auto"/>
                <w:szCs w:val="21"/>
                <w:highlight w:val="none"/>
              </w:rPr>
              <w:t>第三个档次[</w:t>
            </w:r>
            <w:r>
              <w:rPr>
                <w:rFonts w:hint="eastAsia" w:hAnsi="宋体"/>
                <w:color w:val="auto"/>
                <w:szCs w:val="21"/>
                <w:highlight w:val="none"/>
                <w:lang w:val="en-US" w:eastAsia="zh-CN"/>
              </w:rPr>
              <w:t>1</w:t>
            </w:r>
            <w:r>
              <w:rPr>
                <w:rFonts w:hint="eastAsia"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3]分：技术指标、参数部分满足竞争性磋商文件规定的相应技术指标、参数的，但产品知名度、信誉度、市场影响力较差；</w:t>
            </w:r>
          </w:p>
          <w:p>
            <w:pPr>
              <w:spacing w:line="300" w:lineRule="exact"/>
              <w:rPr>
                <w:rFonts w:hAnsi="宋体"/>
                <w:color w:val="auto"/>
                <w:szCs w:val="21"/>
                <w:highlight w:val="none"/>
              </w:rPr>
            </w:pPr>
            <w:r>
              <w:rPr>
                <w:rFonts w:hint="eastAsia" w:hAnsi="宋体"/>
                <w:color w:val="auto"/>
                <w:szCs w:val="21"/>
                <w:highlight w:val="none"/>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auto"/>
                <w:szCs w:val="21"/>
                <w:highlight w:val="none"/>
              </w:rPr>
            </w:pP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lang w:val="en-US" w:eastAsia="zh-CN"/>
              </w:rPr>
              <w:t>2</w:t>
            </w:r>
            <w:r>
              <w:rPr>
                <w:rFonts w:hint="eastAsia" w:hAnsi="宋体"/>
                <w:b/>
                <w:bCs/>
                <w:color w:val="auto"/>
                <w:szCs w:val="21"/>
                <w:highlight w:val="none"/>
                <w:lang w:eastAsia="zh-CN"/>
              </w:rPr>
              <w:t>）</w:t>
            </w:r>
            <w:r>
              <w:rPr>
                <w:rFonts w:hint="eastAsia" w:hAnsi="宋体"/>
                <w:b/>
                <w:bCs/>
                <w:color w:val="auto"/>
                <w:szCs w:val="21"/>
                <w:highlight w:val="none"/>
              </w:rPr>
              <w:t>质量承诺评审评分（满分</w:t>
            </w:r>
            <w:r>
              <w:rPr>
                <w:rFonts w:hint="eastAsia" w:hAnsi="宋体"/>
                <w:b/>
                <w:bCs/>
                <w:color w:val="auto"/>
                <w:szCs w:val="21"/>
                <w:highlight w:val="none"/>
                <w:lang w:val="en-US" w:eastAsia="zh-CN"/>
              </w:rPr>
              <w:t>1</w:t>
            </w:r>
            <w:r>
              <w:rPr>
                <w:rFonts w:hint="eastAsia" w:hAnsi="宋体"/>
                <w:b/>
                <w:bCs/>
                <w:color w:val="auto"/>
                <w:szCs w:val="21"/>
                <w:highlight w:val="none"/>
              </w:rPr>
              <w:t>0分）</w:t>
            </w:r>
          </w:p>
          <w:p>
            <w:pPr>
              <w:spacing w:line="300" w:lineRule="exact"/>
              <w:rPr>
                <w:rFonts w:hint="eastAsia" w:hAnsi="宋体"/>
                <w:color w:val="auto"/>
                <w:szCs w:val="21"/>
                <w:highlight w:val="none"/>
              </w:rPr>
            </w:pPr>
            <w:r>
              <w:rPr>
                <w:rFonts w:hint="eastAsia" w:hAnsi="宋体"/>
                <w:color w:val="auto"/>
                <w:szCs w:val="21"/>
                <w:highlight w:val="none"/>
              </w:rPr>
              <w:t>第一个档次（</w:t>
            </w:r>
            <w:r>
              <w:rPr>
                <w:rFonts w:hint="eastAsia" w:hAnsi="宋体"/>
                <w:color w:val="auto"/>
                <w:szCs w:val="21"/>
                <w:highlight w:val="none"/>
                <w:lang w:val="en-US" w:eastAsia="zh-CN"/>
              </w:rPr>
              <w:t>8</w:t>
            </w:r>
            <w:r>
              <w:rPr>
                <w:rFonts w:hint="eastAsia" w:hAnsi="宋体"/>
                <w:color w:val="auto"/>
                <w:szCs w:val="21"/>
                <w:highlight w:val="none"/>
              </w:rPr>
              <w:t>-</w:t>
            </w:r>
            <w:r>
              <w:rPr>
                <w:rFonts w:hint="eastAsia" w:hAnsi="宋体"/>
                <w:color w:val="auto"/>
                <w:szCs w:val="21"/>
                <w:highlight w:val="none"/>
                <w:lang w:val="en-US" w:eastAsia="zh-CN"/>
              </w:rPr>
              <w:t>1</w:t>
            </w:r>
            <w:r>
              <w:rPr>
                <w:rFonts w:hint="eastAsia" w:hAnsi="宋体"/>
                <w:color w:val="auto"/>
                <w:szCs w:val="21"/>
                <w:highlight w:val="none"/>
              </w:rPr>
              <w:t>0分）：质量保证及承诺优，措施完善，对货物出现问题有应对措施及处理办法；</w:t>
            </w:r>
          </w:p>
          <w:p>
            <w:pPr>
              <w:spacing w:line="300" w:lineRule="exact"/>
              <w:rPr>
                <w:rFonts w:hint="eastAsia" w:hAnsi="宋体"/>
                <w:color w:val="auto"/>
                <w:szCs w:val="21"/>
                <w:highlight w:val="none"/>
              </w:rPr>
            </w:pPr>
            <w:r>
              <w:rPr>
                <w:rFonts w:hint="eastAsia" w:hAnsi="宋体"/>
                <w:color w:val="auto"/>
                <w:szCs w:val="21"/>
                <w:highlight w:val="none"/>
              </w:rPr>
              <w:t>第二个档次（</w:t>
            </w:r>
            <w:r>
              <w:rPr>
                <w:rFonts w:hint="eastAsia" w:hAnsi="宋体"/>
                <w:color w:val="auto"/>
                <w:szCs w:val="21"/>
                <w:highlight w:val="none"/>
                <w:lang w:val="en-US" w:eastAsia="zh-CN"/>
              </w:rPr>
              <w:t>5</w:t>
            </w:r>
            <w:r>
              <w:rPr>
                <w:rFonts w:hint="eastAsia" w:hAnsi="宋体"/>
                <w:color w:val="auto"/>
                <w:szCs w:val="21"/>
                <w:highlight w:val="none"/>
              </w:rPr>
              <w:t>-</w:t>
            </w:r>
            <w:r>
              <w:rPr>
                <w:rFonts w:hint="eastAsia" w:hAnsi="宋体"/>
                <w:color w:val="auto"/>
                <w:szCs w:val="21"/>
                <w:highlight w:val="none"/>
                <w:lang w:val="en-US" w:eastAsia="zh-CN"/>
              </w:rPr>
              <w:t>7</w:t>
            </w:r>
            <w:r>
              <w:rPr>
                <w:rFonts w:hint="eastAsia" w:hAnsi="宋体"/>
                <w:color w:val="auto"/>
                <w:szCs w:val="21"/>
                <w:highlight w:val="none"/>
              </w:rPr>
              <w:t>分）：质量保证及承诺良好，措施基本完善；</w:t>
            </w:r>
          </w:p>
          <w:p>
            <w:pPr>
              <w:spacing w:line="300" w:lineRule="exact"/>
              <w:rPr>
                <w:rFonts w:hint="eastAsia" w:hAnsi="宋体"/>
                <w:color w:val="auto"/>
                <w:szCs w:val="21"/>
                <w:highlight w:val="none"/>
              </w:rPr>
            </w:pPr>
            <w:r>
              <w:rPr>
                <w:rFonts w:hint="eastAsia" w:hAnsi="宋体"/>
                <w:color w:val="auto"/>
                <w:szCs w:val="21"/>
                <w:highlight w:val="none"/>
              </w:rPr>
              <w:t>第三个档次（1-</w:t>
            </w:r>
            <w:r>
              <w:rPr>
                <w:rFonts w:hint="eastAsia" w:hAnsi="宋体"/>
                <w:color w:val="auto"/>
                <w:szCs w:val="21"/>
                <w:highlight w:val="none"/>
                <w:lang w:val="en-US" w:eastAsia="zh-CN"/>
              </w:rPr>
              <w:t>4</w:t>
            </w:r>
            <w:r>
              <w:rPr>
                <w:rFonts w:hint="eastAsia" w:hAnsi="宋体"/>
                <w:color w:val="auto"/>
                <w:szCs w:val="21"/>
                <w:highlight w:val="none"/>
              </w:rPr>
              <w:t>分）：质量保证及承诺一般；</w:t>
            </w:r>
          </w:p>
          <w:p>
            <w:pPr>
              <w:spacing w:line="300" w:lineRule="exact"/>
              <w:rPr>
                <w:rFonts w:hAnsi="宋体"/>
                <w:color w:val="auto"/>
                <w:szCs w:val="21"/>
                <w:highlight w:val="none"/>
              </w:rPr>
            </w:pPr>
            <w:r>
              <w:rPr>
                <w:rFonts w:hint="eastAsia" w:hAnsi="宋体"/>
                <w:color w:val="auto"/>
                <w:szCs w:val="21"/>
                <w:highlight w:val="none"/>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restart"/>
            <w:vAlign w:val="center"/>
          </w:tcPr>
          <w:p>
            <w:pPr>
              <w:rPr>
                <w:rFonts w:hAnsi="宋体"/>
                <w:color w:val="auto"/>
                <w:szCs w:val="21"/>
                <w:highlight w:val="none"/>
              </w:rPr>
            </w:pPr>
            <w:r>
              <w:rPr>
                <w:rFonts w:hint="eastAsia" w:hAnsi="宋体" w:cs="宋体"/>
                <w:color w:val="auto"/>
                <w:szCs w:val="21"/>
                <w:highlight w:val="none"/>
              </w:rPr>
              <w:t>5)</w:t>
            </w:r>
            <w:r>
              <w:rPr>
                <w:rFonts w:hint="eastAsia" w:hAnsi="宋体"/>
                <w:color w:val="auto"/>
                <w:szCs w:val="21"/>
                <w:highlight w:val="none"/>
              </w:rPr>
              <w:t xml:space="preserve"> 商务</w:t>
            </w:r>
            <w:r>
              <w:rPr>
                <w:rFonts w:hAnsi="宋体"/>
                <w:color w:val="auto"/>
                <w:szCs w:val="21"/>
                <w:highlight w:val="none"/>
              </w:rPr>
              <w:t>部分</w:t>
            </w:r>
            <w:r>
              <w:rPr>
                <w:rFonts w:hint="eastAsia" w:hAnsi="宋体"/>
                <w:color w:val="auto"/>
                <w:szCs w:val="21"/>
                <w:highlight w:val="none"/>
              </w:rPr>
              <w:t>评分</w:t>
            </w:r>
            <w:r>
              <w:rPr>
                <w:rFonts w:hAnsi="宋体"/>
                <w:color w:val="auto"/>
                <w:szCs w:val="21"/>
                <w:highlight w:val="none"/>
              </w:rPr>
              <w:t>F</w:t>
            </w:r>
            <w:r>
              <w:rPr>
                <w:rFonts w:hint="eastAsia" w:hAnsi="宋体"/>
                <w:color w:val="auto"/>
                <w:szCs w:val="21"/>
                <w:highlight w:val="none"/>
              </w:rPr>
              <w:t>3(满分</w:t>
            </w:r>
            <w:r>
              <w:rPr>
                <w:rFonts w:hint="eastAsia" w:hAnsi="宋体"/>
                <w:color w:val="auto"/>
                <w:szCs w:val="21"/>
                <w:highlight w:val="none"/>
                <w:lang w:val="en-US" w:eastAsia="zh-CN"/>
              </w:rPr>
              <w:t>1</w:t>
            </w:r>
            <w:r>
              <w:rPr>
                <w:rFonts w:hint="eastAsia" w:hAnsi="宋体"/>
                <w:color w:val="auto"/>
                <w:szCs w:val="21"/>
                <w:highlight w:val="none"/>
              </w:rPr>
              <w:t>0</w:t>
            </w:r>
            <w:r>
              <w:rPr>
                <w:rFonts w:hAnsi="宋体"/>
                <w:color w:val="auto"/>
                <w:szCs w:val="21"/>
                <w:highlight w:val="none"/>
              </w:rPr>
              <w:t>分</w:t>
            </w:r>
            <w:r>
              <w:rPr>
                <w:rFonts w:hint="eastAsia" w:hAnsi="宋体"/>
                <w:color w:val="auto"/>
                <w:szCs w:val="21"/>
                <w:highlight w:val="none"/>
              </w:rPr>
              <w:t>)</w:t>
            </w: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rPr>
              <w:t>1)交货（服务）方案及时间进度计划安排评审评分（满分</w:t>
            </w:r>
            <w:r>
              <w:rPr>
                <w:rFonts w:hint="eastAsia" w:hAnsi="宋体"/>
                <w:b/>
                <w:bCs/>
                <w:color w:val="auto"/>
                <w:szCs w:val="21"/>
                <w:highlight w:val="none"/>
                <w:lang w:val="en-US" w:eastAsia="zh-CN"/>
              </w:rPr>
              <w:t>5</w:t>
            </w:r>
            <w:r>
              <w:rPr>
                <w:rFonts w:hint="eastAsia" w:hAnsi="宋体"/>
                <w:b/>
                <w:bCs/>
                <w:color w:val="auto"/>
                <w:szCs w:val="21"/>
                <w:highlight w:val="none"/>
              </w:rPr>
              <w:t>分）</w:t>
            </w:r>
          </w:p>
          <w:p>
            <w:pPr>
              <w:spacing w:line="300" w:lineRule="exact"/>
              <w:rPr>
                <w:rFonts w:hint="eastAsia" w:hAnsi="宋体"/>
                <w:color w:val="auto"/>
                <w:szCs w:val="21"/>
                <w:highlight w:val="none"/>
              </w:rPr>
            </w:pPr>
            <w:r>
              <w:rPr>
                <w:rFonts w:hint="eastAsia" w:hAnsi="宋体"/>
                <w:color w:val="auto"/>
                <w:szCs w:val="21"/>
                <w:highlight w:val="none"/>
              </w:rPr>
              <w:t>第一个档次（</w:t>
            </w:r>
            <w:r>
              <w:rPr>
                <w:rFonts w:hint="eastAsia" w:hAnsi="宋体"/>
                <w:color w:val="auto"/>
                <w:szCs w:val="21"/>
                <w:highlight w:val="none"/>
                <w:lang w:val="en-US" w:eastAsia="zh-CN"/>
              </w:rPr>
              <w:t>4</w:t>
            </w:r>
            <w:r>
              <w:rPr>
                <w:rFonts w:hint="eastAsia" w:hAnsi="宋体"/>
                <w:color w:val="auto"/>
                <w:szCs w:val="21"/>
                <w:highlight w:val="none"/>
              </w:rPr>
              <w:t>-</w:t>
            </w:r>
            <w:r>
              <w:rPr>
                <w:rFonts w:hint="eastAsia" w:hAnsi="宋体"/>
                <w:color w:val="auto"/>
                <w:szCs w:val="21"/>
                <w:highlight w:val="none"/>
                <w:lang w:val="en-US" w:eastAsia="zh-CN"/>
              </w:rPr>
              <w:t>5</w:t>
            </w:r>
            <w:r>
              <w:rPr>
                <w:rFonts w:hint="eastAsia" w:hAnsi="宋体"/>
                <w:color w:val="auto"/>
                <w:szCs w:val="21"/>
                <w:highlight w:val="none"/>
              </w:rPr>
              <w:t>分）：交货（服务）方案内容完整、交货期短、安排合理、切实可行、科学规范、针对性好；</w:t>
            </w:r>
          </w:p>
          <w:p>
            <w:pPr>
              <w:spacing w:line="300" w:lineRule="exact"/>
              <w:rPr>
                <w:rFonts w:hint="eastAsia" w:hAnsi="宋体"/>
                <w:color w:val="auto"/>
                <w:szCs w:val="21"/>
                <w:highlight w:val="none"/>
              </w:rPr>
            </w:pPr>
            <w:r>
              <w:rPr>
                <w:rFonts w:hint="eastAsia" w:hAnsi="宋体"/>
                <w:color w:val="auto"/>
                <w:szCs w:val="21"/>
                <w:highlight w:val="none"/>
              </w:rPr>
              <w:t>第二个档次（</w:t>
            </w:r>
            <w:r>
              <w:rPr>
                <w:rFonts w:hint="eastAsia" w:hAnsi="宋体"/>
                <w:color w:val="auto"/>
                <w:szCs w:val="21"/>
                <w:highlight w:val="none"/>
                <w:lang w:val="en-US" w:eastAsia="zh-CN"/>
              </w:rPr>
              <w:t>2</w:t>
            </w:r>
            <w:r>
              <w:rPr>
                <w:rFonts w:hint="eastAsia" w:hAnsi="宋体"/>
                <w:color w:val="auto"/>
                <w:szCs w:val="21"/>
                <w:highlight w:val="none"/>
              </w:rPr>
              <w:t>-</w:t>
            </w:r>
            <w:r>
              <w:rPr>
                <w:rFonts w:hint="eastAsia" w:hAnsi="宋体"/>
                <w:color w:val="auto"/>
                <w:szCs w:val="21"/>
                <w:highlight w:val="none"/>
                <w:lang w:val="en-US" w:eastAsia="zh-CN"/>
              </w:rPr>
              <w:t>3</w:t>
            </w:r>
            <w:r>
              <w:rPr>
                <w:rFonts w:hint="eastAsia" w:hAnsi="宋体"/>
                <w:color w:val="auto"/>
                <w:szCs w:val="21"/>
                <w:highlight w:val="none"/>
              </w:rPr>
              <w:t>分）：交货（服务）方案内容较完整、交货期较短、安排较合理、针对性较好；</w:t>
            </w:r>
          </w:p>
          <w:p>
            <w:pPr>
              <w:spacing w:line="300" w:lineRule="exact"/>
              <w:rPr>
                <w:rFonts w:hAnsi="宋体"/>
                <w:color w:val="auto"/>
                <w:szCs w:val="21"/>
                <w:highlight w:val="none"/>
              </w:rPr>
            </w:pPr>
            <w:r>
              <w:rPr>
                <w:rFonts w:hint="eastAsia" w:hAnsi="宋体"/>
                <w:color w:val="auto"/>
                <w:szCs w:val="21"/>
                <w:highlight w:val="none"/>
              </w:rPr>
              <w:t>第三个档次（</w:t>
            </w:r>
            <w:r>
              <w:rPr>
                <w:rFonts w:hint="eastAsia" w:hAnsi="宋体"/>
                <w:color w:val="auto"/>
                <w:szCs w:val="21"/>
                <w:highlight w:val="none"/>
                <w:lang w:val="en-US" w:eastAsia="zh-CN"/>
              </w:rPr>
              <w:t>1</w:t>
            </w:r>
            <w:r>
              <w:rPr>
                <w:rFonts w:hint="eastAsia" w:hAnsi="宋体"/>
                <w:color w:val="auto"/>
                <w:szCs w:val="21"/>
                <w:highlight w:val="none"/>
              </w:rPr>
              <w:t>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continue"/>
            <w:vAlign w:val="center"/>
          </w:tcPr>
          <w:p>
            <w:pPr>
              <w:rPr>
                <w:rFonts w:hAnsi="宋体"/>
                <w:color w:val="auto"/>
                <w:szCs w:val="21"/>
                <w:highlight w:val="none"/>
              </w:rPr>
            </w:pPr>
          </w:p>
        </w:tc>
        <w:tc>
          <w:tcPr>
            <w:tcW w:w="6360" w:type="dxa"/>
            <w:vAlign w:val="center"/>
          </w:tcPr>
          <w:p>
            <w:pPr>
              <w:spacing w:line="300" w:lineRule="exact"/>
              <w:rPr>
                <w:rFonts w:hint="eastAsia" w:hAnsi="宋体"/>
                <w:b/>
                <w:bCs/>
                <w:color w:val="auto"/>
                <w:szCs w:val="21"/>
                <w:highlight w:val="none"/>
              </w:rPr>
            </w:pPr>
            <w:r>
              <w:rPr>
                <w:rFonts w:hint="eastAsia" w:hAnsi="宋体"/>
                <w:b/>
                <w:bCs/>
                <w:color w:val="auto"/>
                <w:szCs w:val="21"/>
                <w:highlight w:val="none"/>
              </w:rPr>
              <w:t>2）供应商类似案例评审评分（满分</w:t>
            </w:r>
            <w:r>
              <w:rPr>
                <w:rFonts w:hint="eastAsia" w:hAnsi="宋体"/>
                <w:b/>
                <w:bCs/>
                <w:color w:val="auto"/>
                <w:szCs w:val="21"/>
                <w:highlight w:val="none"/>
                <w:lang w:val="en-US" w:eastAsia="zh-CN"/>
              </w:rPr>
              <w:t>5</w:t>
            </w:r>
            <w:r>
              <w:rPr>
                <w:rFonts w:hint="eastAsia" w:hAnsi="宋体"/>
                <w:b/>
                <w:bCs/>
                <w:color w:val="auto"/>
                <w:szCs w:val="21"/>
                <w:highlight w:val="none"/>
              </w:rPr>
              <w:t>分）</w:t>
            </w:r>
          </w:p>
          <w:p>
            <w:pPr>
              <w:spacing w:line="300" w:lineRule="exact"/>
              <w:rPr>
                <w:rFonts w:hint="eastAsia" w:hAnsi="宋体"/>
                <w:color w:val="auto"/>
                <w:szCs w:val="21"/>
                <w:highlight w:val="none"/>
              </w:rPr>
            </w:pPr>
            <w:r>
              <w:rPr>
                <w:rFonts w:hint="eastAsia" w:hAnsi="宋体"/>
                <w:color w:val="auto"/>
                <w:szCs w:val="21"/>
                <w:highlight w:val="none"/>
              </w:rPr>
              <w:t>根据供应商2015年至本项目响应文件提交截止时间前已完成或正在实施过程中的类似案例进行评价打分，每提供一个类似案例得1分，加满为止。</w:t>
            </w:r>
          </w:p>
          <w:p>
            <w:pPr>
              <w:spacing w:line="300" w:lineRule="exact"/>
              <w:rPr>
                <w:rFonts w:hAnsi="宋体"/>
                <w:color w:val="auto"/>
                <w:szCs w:val="21"/>
                <w:highlight w:val="none"/>
              </w:rPr>
            </w:pPr>
            <w:r>
              <w:rPr>
                <w:rFonts w:hint="eastAsia" w:hAnsi="宋体"/>
                <w:color w:val="auto"/>
                <w:szCs w:val="21"/>
                <w:highlight w:val="none"/>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2"/>
        <w:numPr>
          <w:ilvl w:val="0"/>
          <w:numId w:val="1"/>
        </w:numPr>
        <w:spacing w:line="500" w:lineRule="exact"/>
        <w:ind w:left="720" w:leftChars="0" w:hanging="720" w:firstLineChars="0"/>
        <w:jc w:val="both"/>
        <w:rPr>
          <w:rFonts w:hint="eastAsia" w:ascii="方正小标宋_GBK" w:eastAsia="方正小标宋_GBK"/>
          <w:color w:val="auto"/>
          <w:sz w:val="24"/>
          <w:szCs w:val="24"/>
          <w:lang w:val="en-US" w:eastAsia="zh-CN"/>
        </w:rPr>
      </w:pPr>
      <w:r>
        <w:rPr>
          <w:rFonts w:hint="eastAsia" w:ascii="方正小标宋_GBK" w:eastAsia="方正小标宋_GBK"/>
          <w:color w:val="auto"/>
          <w:sz w:val="24"/>
          <w:szCs w:val="24"/>
          <w:lang w:val="en-US" w:eastAsia="zh-CN"/>
        </w:rPr>
        <w:t>合同书样式及主要条款</w:t>
      </w:r>
    </w:p>
    <w:p>
      <w:pPr>
        <w:pStyle w:val="2"/>
        <w:numPr>
          <w:ilvl w:val="0"/>
          <w:numId w:val="0"/>
        </w:numPr>
        <w:spacing w:line="500" w:lineRule="exact"/>
        <w:ind w:leftChars="0" w:firstLine="480" w:firstLineChars="200"/>
        <w:jc w:val="both"/>
        <w:rPr>
          <w:rFonts w:hint="eastAsia" w:ascii="宋体" w:hAnsi="宋体" w:eastAsiaTheme="minorEastAsia" w:cstheme="minorBidi"/>
          <w:b w:val="0"/>
          <w:bCs w:val="0"/>
          <w:snapToGrid/>
          <w:color w:val="auto"/>
          <w:kern w:val="2"/>
          <w:sz w:val="24"/>
          <w:szCs w:val="24"/>
          <w:lang w:val="en-US" w:eastAsia="zh-CN" w:bidi="ar-SA"/>
        </w:rPr>
      </w:pPr>
      <w:bookmarkStart w:id="1" w:name="_Toc481694842"/>
      <w:bookmarkStart w:id="2" w:name="_Toc494043327"/>
      <w:bookmarkStart w:id="3" w:name="_Toc488633613"/>
      <w:bookmarkStart w:id="4" w:name="_Toc213141091"/>
      <w:r>
        <w:rPr>
          <w:rFonts w:hint="eastAsia" w:ascii="宋体" w:hAnsi="宋体" w:eastAsiaTheme="minorEastAsia" w:cstheme="minorBidi"/>
          <w:b w:val="0"/>
          <w:bCs w:val="0"/>
          <w:snapToGrid/>
          <w:color w:val="auto"/>
          <w:kern w:val="2"/>
          <w:sz w:val="24"/>
          <w:szCs w:val="24"/>
          <w:lang w:val="en-US" w:eastAsia="zh-CN" w:bidi="ar-SA"/>
        </w:rPr>
        <w:t>合同书样式及主要条款见表5.1合同条款前附表</w:t>
      </w:r>
      <w:bookmarkEnd w:id="1"/>
      <w:bookmarkEnd w:id="2"/>
      <w:bookmarkEnd w:id="3"/>
      <w:bookmarkEnd w:id="4"/>
      <w:r>
        <w:rPr>
          <w:rFonts w:hint="eastAsia" w:ascii="宋体" w:hAnsi="宋体" w:eastAsiaTheme="minorEastAsia" w:cstheme="minorBidi"/>
          <w:b w:val="0"/>
          <w:bCs w:val="0"/>
          <w:snapToGrid/>
          <w:color w:val="auto"/>
          <w:kern w:val="2"/>
          <w:sz w:val="24"/>
          <w:szCs w:val="24"/>
          <w:lang w:val="en-US" w:eastAsia="zh-CN" w:bidi="ar-SA"/>
        </w:rPr>
        <w:t>。</w:t>
      </w:r>
    </w:p>
    <w:p>
      <w:pPr>
        <w:jc w:val="center"/>
        <w:rPr>
          <w:rFonts w:hint="eastAsia" w:hAnsi="宋体" w:asciiTheme="minorHAnsi" w:eastAsiaTheme="minorEastAsia" w:cstheme="minorBidi"/>
          <w:b w:val="0"/>
          <w:bCs w:val="0"/>
          <w:snapToGrid/>
          <w:color w:val="auto"/>
          <w:kern w:val="2"/>
          <w:sz w:val="21"/>
          <w:szCs w:val="21"/>
          <w:highlight w:val="none"/>
          <w:lang w:val="en-US" w:eastAsia="zh-CN" w:bidi="ar-SA"/>
        </w:rPr>
      </w:pPr>
      <w:r>
        <w:rPr>
          <w:rFonts w:hint="eastAsia" w:hAnsi="宋体" w:asciiTheme="minorHAnsi" w:cstheme="minorBidi"/>
          <w:b w:val="0"/>
          <w:bCs w:val="0"/>
          <w:snapToGrid/>
          <w:color w:val="auto"/>
          <w:kern w:val="2"/>
          <w:sz w:val="21"/>
          <w:szCs w:val="21"/>
          <w:highlight w:val="none"/>
          <w:lang w:val="en-US" w:eastAsia="zh-CN" w:bidi="ar-SA"/>
        </w:rPr>
        <w:t>表5.1</w:t>
      </w:r>
      <w:r>
        <w:rPr>
          <w:rFonts w:hint="eastAsia" w:hAnsi="宋体" w:asciiTheme="minorHAnsi" w:eastAsiaTheme="minorEastAsia" w:cstheme="minorBidi"/>
          <w:b w:val="0"/>
          <w:bCs w:val="0"/>
          <w:snapToGrid/>
          <w:color w:val="auto"/>
          <w:kern w:val="2"/>
          <w:sz w:val="21"/>
          <w:szCs w:val="21"/>
          <w:highlight w:val="none"/>
          <w:lang w:val="en-US" w:eastAsia="zh-CN" w:bidi="ar-SA"/>
        </w:rPr>
        <w:t>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int="eastAsia" w:hAnsi="宋体"/>
                <w:b/>
                <w:bCs/>
                <w:color w:val="auto"/>
                <w:szCs w:val="21"/>
                <w:highlight w:val="none"/>
              </w:rPr>
            </w:pPr>
            <w:r>
              <w:rPr>
                <w:rFonts w:hint="eastAsia" w:hAnsi="宋体"/>
                <w:b/>
                <w:bCs/>
                <w:color w:val="auto"/>
                <w:szCs w:val="21"/>
                <w:highlight w:val="none"/>
              </w:rPr>
              <w:t>序号</w:t>
            </w:r>
          </w:p>
        </w:tc>
        <w:tc>
          <w:tcPr>
            <w:tcW w:w="8254" w:type="dxa"/>
            <w:vAlign w:val="center"/>
          </w:tcPr>
          <w:p>
            <w:pPr>
              <w:pStyle w:val="3"/>
              <w:ind w:firstLine="211" w:firstLineChars="100"/>
              <w:jc w:val="center"/>
              <w:rPr>
                <w:rFonts w:hint="eastAsia" w:hAnsi="宋体"/>
                <w:b/>
                <w:bCs/>
                <w:color w:val="auto"/>
                <w:szCs w:val="21"/>
                <w:highlight w:val="none"/>
              </w:rPr>
            </w:pPr>
            <w:r>
              <w:rPr>
                <w:rFonts w:hint="eastAsia" w:hAnsi="宋体"/>
                <w:b/>
                <w:bCs/>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hint="eastAsia"/>
                <w:color w:val="auto"/>
                <w:szCs w:val="21"/>
                <w:highlight w:val="none"/>
              </w:rPr>
            </w:pPr>
            <w:r>
              <w:rPr>
                <w:rFonts w:hint="eastAsia"/>
                <w:color w:val="auto"/>
                <w:szCs w:val="21"/>
                <w:highlight w:val="none"/>
              </w:rPr>
              <w:t>1</w:t>
            </w:r>
          </w:p>
        </w:tc>
        <w:tc>
          <w:tcPr>
            <w:tcW w:w="8254" w:type="dxa"/>
            <w:vAlign w:val="center"/>
          </w:tcPr>
          <w:p>
            <w:pPr>
              <w:spacing w:line="400" w:lineRule="exact"/>
              <w:jc w:val="left"/>
              <w:rPr>
                <w:rFonts w:hint="eastAsia" w:hAnsi="宋体"/>
                <w:color w:val="auto"/>
                <w:sz w:val="22"/>
                <w:szCs w:val="21"/>
                <w:highlight w:val="none"/>
              </w:rPr>
            </w:pPr>
            <w:r>
              <w:rPr>
                <w:rFonts w:hint="eastAsia" w:hAnsi="宋体"/>
                <w:color w:val="auto"/>
                <w:sz w:val="22"/>
                <w:szCs w:val="21"/>
                <w:highlight w:val="none"/>
              </w:rPr>
              <w:t>交货时间：</w:t>
            </w:r>
            <w:r>
              <w:rPr>
                <w:rFonts w:hint="eastAsia" w:hAnsi="宋体"/>
                <w:color w:val="auto"/>
                <w:sz w:val="22"/>
                <w:szCs w:val="21"/>
                <w:highlight w:val="none"/>
                <w:lang w:eastAsia="zh-CN"/>
              </w:rPr>
              <w:t>中标后合同签订</w:t>
            </w:r>
            <w:r>
              <w:rPr>
                <w:rFonts w:hint="eastAsia" w:hAnsi="宋体"/>
                <w:color w:val="auto"/>
                <w:sz w:val="22"/>
                <w:szCs w:val="21"/>
                <w:highlight w:val="none"/>
              </w:rPr>
              <w:t>后</w:t>
            </w:r>
            <w:r>
              <w:rPr>
                <w:rFonts w:hint="eastAsia" w:hAnsi="宋体"/>
                <w:color w:val="auto"/>
                <w:sz w:val="22"/>
                <w:szCs w:val="21"/>
                <w:highlight w:val="none"/>
                <w:u w:val="single"/>
                <w:lang w:val="en-US" w:eastAsia="zh-CN"/>
              </w:rPr>
              <w:t xml:space="preserve">   </w:t>
            </w:r>
            <w:r>
              <w:rPr>
                <w:rFonts w:hint="eastAsia" w:hAnsi="宋体"/>
                <w:color w:val="auto"/>
                <w:sz w:val="22"/>
                <w:szCs w:val="21"/>
                <w:highlight w:val="none"/>
              </w:rPr>
              <w:t>个工作日内</w:t>
            </w:r>
            <w:r>
              <w:rPr>
                <w:rFonts w:hint="eastAsia" w:hAnsi="宋体"/>
                <w:color w:val="auto"/>
                <w:sz w:val="22"/>
                <w:szCs w:val="21"/>
                <w:highlight w:val="none"/>
                <w:lang w:eastAsia="zh-CN"/>
              </w:rPr>
              <w:t>昆明理工大学附属小学鼓号队装备</w:t>
            </w:r>
            <w:r>
              <w:rPr>
                <w:rFonts w:hint="eastAsia" w:hAnsi="宋体"/>
                <w:color w:val="auto"/>
                <w:sz w:val="22"/>
                <w:szCs w:val="21"/>
                <w:highlight w:val="none"/>
              </w:rPr>
              <w:t>送至</w:t>
            </w:r>
            <w:r>
              <w:rPr>
                <w:rFonts w:hint="eastAsia" w:hAnsi="宋体"/>
                <w:color w:val="auto"/>
                <w:sz w:val="22"/>
                <w:szCs w:val="21"/>
                <w:highlight w:val="none"/>
                <w:lang w:eastAsia="zh-CN"/>
              </w:rPr>
              <w:t>采购人</w:t>
            </w:r>
            <w:r>
              <w:rPr>
                <w:rFonts w:hint="eastAsia" w:hAnsi="宋体"/>
                <w:color w:val="auto"/>
                <w:sz w:val="22"/>
                <w:szCs w:val="21"/>
                <w:highlight w:val="none"/>
              </w:rPr>
              <w:t>指定地点（具体时间以甲方书面通知为准），</w:t>
            </w:r>
            <w:r>
              <w:rPr>
                <w:rFonts w:hint="eastAsia" w:hAnsi="宋体"/>
                <w:color w:val="auto"/>
                <w:sz w:val="22"/>
                <w:szCs w:val="21"/>
                <w:highlight w:val="none"/>
                <w:lang w:eastAsia="zh-CN"/>
              </w:rPr>
              <w:t>并安装调试可用</w:t>
            </w:r>
            <w:r>
              <w:rPr>
                <w:rFonts w:hint="eastAsia" w:hAnsi="宋体"/>
                <w:color w:val="auto"/>
                <w:sz w:val="2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8254" w:type="dxa"/>
            <w:vAlign w:val="center"/>
          </w:tcPr>
          <w:p>
            <w:pPr>
              <w:spacing w:line="400" w:lineRule="exact"/>
              <w:jc w:val="left"/>
              <w:rPr>
                <w:rFonts w:hint="eastAsia" w:hAnsi="宋体"/>
                <w:color w:val="auto"/>
                <w:sz w:val="22"/>
                <w:szCs w:val="21"/>
                <w:highlight w:val="none"/>
                <w:lang w:eastAsia="zh-CN"/>
              </w:rPr>
            </w:pPr>
            <w:r>
              <w:rPr>
                <w:rFonts w:hint="eastAsia" w:hAnsi="宋体"/>
                <w:color w:val="auto"/>
                <w:sz w:val="22"/>
                <w:szCs w:val="21"/>
                <w:highlight w:val="none"/>
              </w:rPr>
              <w:t>验收及验收标准</w:t>
            </w:r>
            <w:r>
              <w:rPr>
                <w:rFonts w:hint="eastAsia" w:hAnsi="宋体"/>
                <w:color w:val="auto"/>
                <w:sz w:val="22"/>
                <w:szCs w:val="21"/>
                <w:highlight w:val="none"/>
                <w:lang w:eastAsia="zh-CN"/>
              </w:rPr>
              <w:t>：</w:t>
            </w:r>
          </w:p>
          <w:p>
            <w:pPr>
              <w:spacing w:line="400" w:lineRule="exact"/>
              <w:jc w:val="left"/>
              <w:rPr>
                <w:rFonts w:hint="eastAsia" w:hAnsi="宋体"/>
                <w:color w:val="auto"/>
                <w:sz w:val="22"/>
                <w:szCs w:val="21"/>
                <w:highlight w:val="none"/>
              </w:rPr>
            </w:pPr>
            <w:r>
              <w:rPr>
                <w:rFonts w:hint="eastAsia" w:hAnsi="宋体"/>
                <w:color w:val="auto"/>
                <w:sz w:val="22"/>
                <w:szCs w:val="21"/>
                <w:highlight w:val="none"/>
              </w:rPr>
              <w:t>1、</w:t>
            </w:r>
            <w:r>
              <w:rPr>
                <w:rFonts w:hint="eastAsia" w:hAnsi="宋体"/>
                <w:color w:val="auto"/>
                <w:sz w:val="22"/>
                <w:szCs w:val="21"/>
                <w:highlight w:val="none"/>
                <w:lang w:eastAsia="zh-CN"/>
              </w:rPr>
              <w:t>初始</w:t>
            </w:r>
            <w:r>
              <w:rPr>
                <w:rFonts w:hint="eastAsia" w:hAnsi="宋体"/>
                <w:color w:val="auto"/>
                <w:sz w:val="22"/>
                <w:szCs w:val="21"/>
                <w:highlight w:val="none"/>
              </w:rPr>
              <w:t>验收：</w:t>
            </w:r>
            <w:r>
              <w:rPr>
                <w:rFonts w:hint="eastAsia" w:hAnsi="宋体"/>
                <w:color w:val="auto"/>
                <w:sz w:val="22"/>
                <w:szCs w:val="21"/>
                <w:highlight w:val="none"/>
                <w:lang w:eastAsia="zh-CN"/>
              </w:rPr>
              <w:t>货品或设备</w:t>
            </w:r>
            <w:r>
              <w:rPr>
                <w:rFonts w:hint="eastAsia" w:hAnsi="宋体"/>
                <w:color w:val="auto"/>
                <w:sz w:val="22"/>
                <w:szCs w:val="21"/>
                <w:highlight w:val="none"/>
              </w:rPr>
              <w:t>到达甲方指定地点后甲方统一初验是否符合合同要求；</w:t>
            </w:r>
          </w:p>
          <w:p>
            <w:pPr>
              <w:spacing w:line="400" w:lineRule="exact"/>
              <w:jc w:val="left"/>
              <w:rPr>
                <w:rFonts w:hint="eastAsia" w:hAnsi="宋体"/>
                <w:color w:val="auto"/>
                <w:sz w:val="22"/>
                <w:szCs w:val="21"/>
                <w:highlight w:val="none"/>
              </w:rPr>
            </w:pPr>
            <w:r>
              <w:rPr>
                <w:rFonts w:hint="eastAsia" w:hAnsi="宋体"/>
                <w:color w:val="auto"/>
                <w:sz w:val="22"/>
                <w:szCs w:val="21"/>
                <w:highlight w:val="none"/>
              </w:rPr>
              <w:t xml:space="preserve">2、 </w:t>
            </w:r>
            <w:r>
              <w:rPr>
                <w:rFonts w:hint="eastAsia" w:hAnsi="宋体"/>
                <w:color w:val="auto"/>
                <w:sz w:val="22"/>
                <w:szCs w:val="21"/>
                <w:highlight w:val="none"/>
                <w:lang w:eastAsia="zh-CN"/>
              </w:rPr>
              <w:t>最终</w:t>
            </w:r>
            <w:r>
              <w:rPr>
                <w:rFonts w:hint="eastAsia" w:hAnsi="宋体"/>
                <w:color w:val="auto"/>
                <w:sz w:val="22"/>
                <w:szCs w:val="21"/>
                <w:highlight w:val="none"/>
              </w:rPr>
              <w:t>验收：乙方负责设备安装和调试完工后，甲方测试是否合格并满足</w:t>
            </w:r>
            <w:r>
              <w:rPr>
                <w:rFonts w:hint="eastAsia" w:hAnsi="宋体"/>
                <w:color w:val="auto"/>
                <w:sz w:val="22"/>
                <w:szCs w:val="21"/>
                <w:highlight w:val="none"/>
                <w:lang w:eastAsia="zh-CN"/>
              </w:rPr>
              <w:t>合同约定，并进行资产建账</w:t>
            </w:r>
            <w:r>
              <w:rPr>
                <w:rFonts w:hint="eastAsia" w:hAnsi="宋体"/>
                <w:color w:val="auto"/>
                <w:sz w:val="22"/>
                <w:szCs w:val="21"/>
                <w:highlight w:val="none"/>
              </w:rPr>
              <w:t>；</w:t>
            </w:r>
          </w:p>
          <w:p>
            <w:pPr>
              <w:spacing w:line="400" w:lineRule="exact"/>
              <w:jc w:val="left"/>
              <w:rPr>
                <w:rFonts w:hint="eastAsia"/>
                <w:color w:val="auto"/>
                <w:highlight w:val="none"/>
              </w:rPr>
            </w:pPr>
            <w:r>
              <w:rPr>
                <w:rFonts w:hint="eastAsia" w:hAnsi="宋体"/>
                <w:color w:val="auto"/>
                <w:sz w:val="22"/>
                <w:szCs w:val="21"/>
                <w:highlight w:val="none"/>
              </w:rPr>
              <w:t>3、 实作性操作验收：设备正常运作3个月。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8254" w:type="dxa"/>
            <w:vAlign w:val="center"/>
          </w:tcPr>
          <w:p>
            <w:pPr>
              <w:spacing w:line="400" w:lineRule="exact"/>
              <w:jc w:val="left"/>
              <w:rPr>
                <w:rFonts w:hint="eastAsia" w:hAnsi="宋体"/>
                <w:color w:val="auto"/>
                <w:sz w:val="22"/>
                <w:szCs w:val="21"/>
                <w:highlight w:val="none"/>
                <w:lang w:eastAsia="zh-CN"/>
              </w:rPr>
            </w:pPr>
            <w:r>
              <w:rPr>
                <w:rFonts w:hint="eastAsia" w:hAnsi="宋体"/>
                <w:color w:val="auto"/>
                <w:sz w:val="22"/>
                <w:szCs w:val="21"/>
                <w:highlight w:val="none"/>
              </w:rPr>
              <w:t>违约责任</w:t>
            </w:r>
            <w:r>
              <w:rPr>
                <w:rFonts w:hint="eastAsia" w:hAnsi="宋体"/>
                <w:color w:val="auto"/>
                <w:sz w:val="22"/>
                <w:szCs w:val="21"/>
                <w:highlight w:val="none"/>
                <w:lang w:eastAsia="zh-CN"/>
              </w:rPr>
              <w:t>：</w:t>
            </w:r>
          </w:p>
          <w:p>
            <w:pPr>
              <w:spacing w:line="400" w:lineRule="exact"/>
              <w:jc w:val="left"/>
              <w:rPr>
                <w:rFonts w:hint="eastAsia" w:hAnsi="宋体"/>
                <w:color w:val="auto"/>
                <w:sz w:val="22"/>
                <w:szCs w:val="21"/>
                <w:highlight w:val="none"/>
              </w:rPr>
            </w:pPr>
            <w:r>
              <w:rPr>
                <w:rFonts w:hint="eastAsia" w:hAnsi="宋体"/>
                <w:color w:val="auto"/>
                <w:sz w:val="22"/>
                <w:szCs w:val="21"/>
                <w:highlight w:val="none"/>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2"/>
              </w:numPr>
              <w:spacing w:line="400" w:lineRule="exact"/>
              <w:jc w:val="left"/>
              <w:rPr>
                <w:rFonts w:hint="eastAsia" w:hAnsi="宋体"/>
                <w:color w:val="auto"/>
                <w:sz w:val="22"/>
                <w:szCs w:val="21"/>
                <w:highlight w:val="none"/>
              </w:rPr>
            </w:pPr>
            <w:r>
              <w:rPr>
                <w:rFonts w:hint="eastAsia" w:hAnsi="宋体"/>
                <w:color w:val="auto"/>
                <w:sz w:val="22"/>
                <w:szCs w:val="21"/>
                <w:highlight w:val="none"/>
              </w:rPr>
              <w:t>甲方无故终止合同，导致乙方已备库存或产品已在线生产，甲方须向乙方赔偿合同约定的50%价款。</w:t>
            </w:r>
          </w:p>
          <w:p>
            <w:pPr>
              <w:numPr>
                <w:ilvl w:val="0"/>
                <w:numId w:val="0"/>
              </w:numPr>
              <w:spacing w:line="400" w:lineRule="exact"/>
              <w:jc w:val="left"/>
              <w:rPr>
                <w:rFonts w:hint="eastAsia" w:hAnsi="宋体"/>
                <w:color w:val="auto"/>
                <w:sz w:val="22"/>
                <w:szCs w:val="21"/>
                <w:highlight w:val="none"/>
              </w:rPr>
            </w:pPr>
            <w:r>
              <w:rPr>
                <w:rFonts w:hint="eastAsia" w:hAnsi="宋体"/>
                <w:color w:val="auto"/>
                <w:sz w:val="22"/>
                <w:szCs w:val="21"/>
                <w:highlight w:val="none"/>
                <w:lang w:val="en-US" w:eastAsia="zh-CN"/>
              </w:rPr>
              <w:t>3、</w:t>
            </w:r>
            <w:r>
              <w:rPr>
                <w:rFonts w:hint="eastAsia" w:hAnsi="宋体"/>
                <w:color w:val="auto"/>
                <w:sz w:val="22"/>
                <w:szCs w:val="21"/>
                <w:highlight w:val="none"/>
              </w:rPr>
              <w:t>乙方无故终止合同，乙方须向甲方赔偿</w:t>
            </w:r>
            <w:r>
              <w:rPr>
                <w:rFonts w:hint="eastAsia" w:hAnsi="宋体"/>
                <w:color w:val="auto"/>
                <w:sz w:val="22"/>
                <w:szCs w:val="21"/>
                <w:highlight w:val="none"/>
                <w:lang w:eastAsia="zh-CN"/>
              </w:rPr>
              <w:t>已产生</w:t>
            </w:r>
            <w:r>
              <w:rPr>
                <w:rFonts w:hint="eastAsia" w:hAnsi="宋体"/>
                <w:color w:val="auto"/>
                <w:sz w:val="22"/>
                <w:szCs w:val="21"/>
                <w:highlight w:val="none"/>
              </w:rPr>
              <w:t>合同总金额的50%价款。</w:t>
            </w:r>
          </w:p>
          <w:p>
            <w:pPr>
              <w:spacing w:line="400" w:lineRule="exact"/>
              <w:jc w:val="left"/>
              <w:rPr>
                <w:rFonts w:hint="eastAsia" w:hAnsi="宋体"/>
                <w:color w:val="auto"/>
                <w:sz w:val="22"/>
                <w:szCs w:val="21"/>
                <w:highlight w:val="none"/>
              </w:rPr>
            </w:pPr>
            <w:r>
              <w:rPr>
                <w:rFonts w:hint="eastAsia" w:hAnsi="宋体"/>
                <w:color w:val="auto"/>
                <w:sz w:val="22"/>
                <w:szCs w:val="21"/>
                <w:highlight w:val="none"/>
                <w:lang w:val="en-US" w:eastAsia="zh-CN"/>
              </w:rPr>
              <w:t>4、</w:t>
            </w:r>
            <w:r>
              <w:rPr>
                <w:rFonts w:hint="eastAsia" w:hAnsi="宋体"/>
                <w:color w:val="auto"/>
                <w:sz w:val="22"/>
                <w:szCs w:val="21"/>
                <w:highlight w:val="none"/>
              </w:rPr>
              <w:t>乙方不得提供</w:t>
            </w:r>
            <w:r>
              <w:rPr>
                <w:rFonts w:hint="eastAsia" w:hAnsi="宋体"/>
                <w:color w:val="auto"/>
                <w:sz w:val="22"/>
                <w:szCs w:val="21"/>
                <w:highlight w:val="none"/>
                <w:lang w:eastAsia="zh-CN"/>
              </w:rPr>
              <w:t>无授权</w:t>
            </w:r>
            <w:r>
              <w:rPr>
                <w:rFonts w:hint="eastAsia" w:hAnsi="宋体"/>
                <w:color w:val="auto"/>
                <w:sz w:val="22"/>
                <w:szCs w:val="21"/>
                <w:highlight w:val="none"/>
              </w:rPr>
              <w:t>、劣质的产品，否则甲方有权拒收产品，并由乙方承担一切法律后果。同时终止合同，乙方须向甲方赔偿</w:t>
            </w:r>
            <w:r>
              <w:rPr>
                <w:rFonts w:hint="eastAsia" w:hAnsi="宋体"/>
                <w:color w:val="auto"/>
                <w:sz w:val="22"/>
                <w:szCs w:val="21"/>
                <w:highlight w:val="none"/>
                <w:lang w:eastAsia="zh-CN"/>
              </w:rPr>
              <w:t>已产生</w:t>
            </w:r>
            <w:r>
              <w:rPr>
                <w:rFonts w:hint="eastAsia" w:hAnsi="宋体"/>
                <w:color w:val="auto"/>
                <w:sz w:val="22"/>
                <w:szCs w:val="21"/>
                <w:highlight w:val="none"/>
              </w:rPr>
              <w:t>合同总金额的50%价款。</w:t>
            </w:r>
          </w:p>
          <w:p>
            <w:pPr>
              <w:spacing w:line="400" w:lineRule="exact"/>
              <w:jc w:val="left"/>
              <w:rPr>
                <w:rFonts w:hint="eastAsia" w:hAnsi="宋体"/>
                <w:color w:val="auto"/>
                <w:sz w:val="22"/>
                <w:szCs w:val="21"/>
                <w:highlight w:val="none"/>
              </w:rPr>
            </w:pPr>
            <w:r>
              <w:rPr>
                <w:rFonts w:hint="eastAsia" w:hAnsi="宋体"/>
                <w:color w:val="auto"/>
                <w:sz w:val="22"/>
                <w:szCs w:val="21"/>
                <w:highlight w:val="none"/>
                <w:lang w:val="en-US" w:eastAsia="zh-CN"/>
              </w:rPr>
              <w:t>5、</w:t>
            </w:r>
            <w:r>
              <w:rPr>
                <w:rFonts w:hint="eastAsia" w:hAnsi="宋体"/>
                <w:color w:val="auto"/>
                <w:sz w:val="22"/>
                <w:szCs w:val="21"/>
                <w:highlight w:val="none"/>
              </w:rPr>
              <w:t>乙方迟交货</w:t>
            </w:r>
            <w:r>
              <w:rPr>
                <w:rFonts w:hint="eastAsia" w:hAnsi="宋体"/>
                <w:color w:val="auto"/>
                <w:sz w:val="22"/>
                <w:szCs w:val="21"/>
                <w:highlight w:val="none"/>
                <w:lang w:val="en-US" w:eastAsia="zh-CN"/>
              </w:rPr>
              <w:t>3天</w:t>
            </w:r>
            <w:r>
              <w:rPr>
                <w:rFonts w:hint="eastAsia" w:hAnsi="宋体"/>
                <w:color w:val="auto"/>
                <w:sz w:val="22"/>
                <w:szCs w:val="21"/>
                <w:highlight w:val="none"/>
              </w:rPr>
              <w:t>，支付甲方违约罚金，金额为</w:t>
            </w:r>
            <w:r>
              <w:rPr>
                <w:rFonts w:hint="eastAsia" w:hAnsi="宋体"/>
                <w:color w:val="auto"/>
                <w:sz w:val="22"/>
                <w:szCs w:val="21"/>
                <w:highlight w:val="none"/>
                <w:lang w:eastAsia="zh-CN"/>
              </w:rPr>
              <w:t>本次供货</w:t>
            </w:r>
            <w:r>
              <w:rPr>
                <w:rFonts w:hint="eastAsia" w:hAnsi="宋体"/>
                <w:color w:val="auto"/>
                <w:sz w:val="22"/>
                <w:szCs w:val="21"/>
                <w:highlight w:val="none"/>
              </w:rPr>
              <w:t>合同总金额的3%;</w:t>
            </w:r>
          </w:p>
          <w:p>
            <w:pPr>
              <w:spacing w:line="400" w:lineRule="exact"/>
              <w:jc w:val="left"/>
              <w:rPr>
                <w:rFonts w:hint="eastAsia" w:hAnsi="宋体"/>
                <w:color w:val="auto"/>
                <w:sz w:val="22"/>
                <w:szCs w:val="21"/>
                <w:highlight w:val="none"/>
              </w:rPr>
            </w:pPr>
            <w:r>
              <w:rPr>
                <w:rFonts w:hint="eastAsia" w:hAnsi="宋体"/>
                <w:color w:val="auto"/>
                <w:sz w:val="22"/>
                <w:szCs w:val="21"/>
                <w:highlight w:val="none"/>
                <w:lang w:val="en-US" w:eastAsia="zh-CN"/>
              </w:rPr>
              <w:t>6、</w:t>
            </w:r>
            <w:r>
              <w:rPr>
                <w:rFonts w:hint="eastAsia" w:hAnsi="宋体"/>
                <w:color w:val="auto"/>
                <w:sz w:val="22"/>
                <w:szCs w:val="21"/>
                <w:highlight w:val="none"/>
              </w:rPr>
              <w:t>乙方迟交货1周，支付甲方违约罚金，金额为</w:t>
            </w:r>
            <w:r>
              <w:rPr>
                <w:rFonts w:hint="eastAsia" w:hAnsi="宋体"/>
                <w:color w:val="auto"/>
                <w:sz w:val="22"/>
                <w:szCs w:val="21"/>
                <w:highlight w:val="none"/>
                <w:lang w:eastAsia="zh-CN"/>
              </w:rPr>
              <w:t>本次供货</w:t>
            </w:r>
            <w:r>
              <w:rPr>
                <w:rFonts w:hint="eastAsia" w:hAnsi="宋体"/>
                <w:color w:val="auto"/>
                <w:sz w:val="22"/>
                <w:szCs w:val="21"/>
                <w:highlight w:val="none"/>
              </w:rPr>
              <w:t>合同总金额的5%;</w:t>
            </w:r>
          </w:p>
          <w:p>
            <w:pPr>
              <w:spacing w:line="400" w:lineRule="exact"/>
              <w:jc w:val="left"/>
              <w:rPr>
                <w:rFonts w:hint="eastAsia" w:eastAsia="宋体"/>
                <w:color w:val="auto"/>
                <w:highlight w:val="none"/>
                <w:lang w:eastAsia="zh-CN"/>
              </w:rPr>
            </w:pPr>
            <w:r>
              <w:rPr>
                <w:rFonts w:hint="eastAsia" w:hAnsi="宋体"/>
                <w:color w:val="auto"/>
                <w:sz w:val="22"/>
                <w:szCs w:val="21"/>
                <w:highlight w:val="none"/>
                <w:lang w:val="en-US" w:eastAsia="zh-CN"/>
              </w:rPr>
              <w:t>7、</w:t>
            </w:r>
            <w:r>
              <w:rPr>
                <w:rFonts w:hint="eastAsia" w:hAnsi="宋体"/>
                <w:color w:val="auto"/>
                <w:sz w:val="22"/>
                <w:szCs w:val="21"/>
                <w:highlight w:val="none"/>
              </w:rPr>
              <w:t>乙方迟交货2周，合同终止，乙方赔偿甲方</w:t>
            </w:r>
            <w:r>
              <w:rPr>
                <w:rFonts w:hint="eastAsia" w:hAnsi="宋体"/>
                <w:color w:val="auto"/>
                <w:sz w:val="22"/>
                <w:szCs w:val="21"/>
                <w:highlight w:val="none"/>
                <w:lang w:eastAsia="zh-CN"/>
              </w:rPr>
              <w:t>已产生</w:t>
            </w:r>
            <w:r>
              <w:rPr>
                <w:rFonts w:hint="eastAsia" w:hAnsi="宋体"/>
                <w:color w:val="auto"/>
                <w:sz w:val="22"/>
                <w:szCs w:val="21"/>
                <w:highlight w:val="none"/>
              </w:rPr>
              <w:t>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8254" w:type="dxa"/>
            <w:vAlign w:val="center"/>
          </w:tcPr>
          <w:p>
            <w:pPr>
              <w:spacing w:line="400" w:lineRule="exact"/>
              <w:jc w:val="left"/>
              <w:rPr>
                <w:rFonts w:hint="eastAsia" w:hAnsi="宋体"/>
                <w:color w:val="auto"/>
                <w:sz w:val="22"/>
                <w:szCs w:val="21"/>
                <w:highlight w:val="none"/>
              </w:rPr>
            </w:pPr>
            <w:r>
              <w:rPr>
                <w:rFonts w:hint="eastAsia" w:hAnsi="宋体"/>
                <w:color w:val="auto"/>
                <w:sz w:val="22"/>
                <w:szCs w:val="21"/>
                <w:highlight w:val="none"/>
              </w:rPr>
              <w:t>付款方式：</w:t>
            </w:r>
          </w:p>
          <w:p>
            <w:pPr>
              <w:spacing w:line="400" w:lineRule="exact"/>
              <w:jc w:val="left"/>
              <w:rPr>
                <w:rFonts w:hint="eastAsia" w:hAnsi="宋体"/>
                <w:color w:val="auto"/>
                <w:sz w:val="22"/>
                <w:szCs w:val="21"/>
                <w:highlight w:val="none"/>
                <w:lang w:val="en-US"/>
              </w:rPr>
            </w:pPr>
            <w:r>
              <w:rPr>
                <w:rFonts w:hint="eastAsia" w:hAnsi="宋体"/>
                <w:color w:val="auto"/>
                <w:sz w:val="22"/>
                <w:szCs w:val="21"/>
                <w:highlight w:val="none"/>
                <w:lang w:val="en-US" w:eastAsia="zh-CN"/>
              </w:rPr>
              <w:t>1、在最终验收和资产建账完成后，符合规范和要求，可以进入付款阶段，支付至合同金额的70%。</w:t>
            </w:r>
          </w:p>
          <w:p>
            <w:pPr>
              <w:spacing w:line="400" w:lineRule="exact"/>
              <w:jc w:val="left"/>
              <w:rPr>
                <w:rFonts w:hint="eastAsia" w:hAnsi="宋体"/>
                <w:color w:val="auto"/>
                <w:sz w:val="22"/>
                <w:szCs w:val="21"/>
                <w:highlight w:val="none"/>
                <w:lang w:val="en-US" w:eastAsia="zh-CN"/>
              </w:rPr>
            </w:pPr>
            <w:r>
              <w:rPr>
                <w:rFonts w:hint="eastAsia" w:hAnsi="宋体"/>
                <w:color w:val="auto"/>
                <w:sz w:val="22"/>
                <w:szCs w:val="21"/>
                <w:highlight w:val="none"/>
                <w:lang w:val="en-US" w:eastAsia="zh-CN"/>
              </w:rPr>
              <w:t>2、设备正常运行3个月后方，支付至合同金额的95%。</w:t>
            </w:r>
          </w:p>
          <w:p>
            <w:pPr>
              <w:spacing w:line="440" w:lineRule="exact"/>
              <w:rPr>
                <w:rFonts w:hint="eastAsia" w:hAnsi="宋体" w:eastAsia="宋体"/>
                <w:color w:val="auto"/>
                <w:sz w:val="22"/>
                <w:szCs w:val="21"/>
                <w:highlight w:val="none"/>
                <w:lang w:val="en-US" w:eastAsia="zh-CN"/>
              </w:rPr>
            </w:pPr>
            <w:r>
              <w:rPr>
                <w:rFonts w:hint="eastAsia" w:hAnsi="宋体"/>
                <w:color w:val="auto"/>
                <w:sz w:val="22"/>
                <w:szCs w:val="21"/>
                <w:highlight w:val="none"/>
                <w:lang w:val="en-US" w:eastAsia="zh-CN"/>
              </w:rPr>
              <w:t>3、剩余合同金额的5%，待质保期满后无息返还</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8254" w:type="dxa"/>
            <w:vAlign w:val="center"/>
          </w:tcPr>
          <w:p>
            <w:pPr>
              <w:spacing w:line="440" w:lineRule="exact"/>
              <w:rPr>
                <w:rFonts w:hint="eastAsia" w:hAnsi="宋体"/>
                <w:color w:val="auto"/>
                <w:sz w:val="22"/>
                <w:szCs w:val="21"/>
                <w:highlight w:val="none"/>
                <w:lang w:val="en-US" w:eastAsia="zh-CN"/>
              </w:rPr>
            </w:pPr>
            <w:r>
              <w:rPr>
                <w:rFonts w:hint="eastAsia" w:hAnsi="宋体"/>
                <w:color w:val="auto"/>
                <w:sz w:val="22"/>
                <w:szCs w:val="21"/>
                <w:highlight w:val="none"/>
                <w:lang w:val="en-US" w:eastAsia="zh-CN"/>
              </w:rPr>
              <w:t xml:space="preserve">质保期：承诺对所售产品质保 </w:t>
            </w:r>
            <w:r>
              <w:rPr>
                <w:rFonts w:hint="eastAsia" w:hAnsi="宋体"/>
                <w:color w:val="auto"/>
                <w:sz w:val="22"/>
                <w:szCs w:val="21"/>
                <w:highlight w:val="none"/>
                <w:u w:val="single"/>
                <w:lang w:val="en-US" w:eastAsia="zh-CN"/>
              </w:rPr>
              <w:t xml:space="preserve">     </w:t>
            </w:r>
            <w:r>
              <w:rPr>
                <w:rFonts w:hint="eastAsia" w:hAnsi="宋体"/>
                <w:color w:val="auto"/>
                <w:sz w:val="22"/>
                <w:szCs w:val="21"/>
                <w:highlight w:val="none"/>
                <w:lang w:val="en-US" w:eastAsia="zh-CN"/>
              </w:rPr>
              <w:t xml:space="preserve"> 年。</w:t>
            </w:r>
          </w:p>
        </w:tc>
      </w:tr>
    </w:tbl>
    <w:p>
      <w:pPr>
        <w:jc w:val="center"/>
        <w:rPr>
          <w:rFonts w:hint="eastAsia" w:hAnsi="宋体" w:asciiTheme="minorHAnsi" w:eastAsiaTheme="minorEastAsia" w:cstheme="minorBidi"/>
          <w:b w:val="0"/>
          <w:bCs w:val="0"/>
          <w:snapToGrid/>
          <w:color w:val="auto"/>
          <w:kern w:val="2"/>
          <w:sz w:val="21"/>
          <w:szCs w:val="21"/>
          <w:highlight w:val="none"/>
          <w:lang w:val="en-US" w:eastAsia="zh-CN" w:bidi="ar-SA"/>
        </w:rPr>
      </w:pPr>
    </w:p>
    <w:p>
      <w:pPr>
        <w:pStyle w:val="9"/>
        <w:ind w:left="720" w:firstLine="0" w:firstLineChars="0"/>
        <w:rPr>
          <w:rFonts w:ascii="方正小标宋_GBK" w:eastAsia="方正小标宋_GBK"/>
          <w:color w:val="auto"/>
          <w:sz w:val="24"/>
          <w:szCs w:val="24"/>
        </w:rPr>
      </w:pPr>
    </w:p>
    <w:p>
      <w:pPr>
        <w:spacing w:line="460" w:lineRule="exact"/>
        <w:rPr>
          <w:rFonts w:ascii="方正小标宋_GBK" w:eastAsia="方正小标宋_GBK"/>
          <w:color w:val="auto"/>
          <w:sz w:val="24"/>
          <w:szCs w:val="24"/>
        </w:rPr>
      </w:pPr>
      <w:r>
        <w:rPr>
          <w:rFonts w:hint="eastAsia" w:ascii="方正小标宋_GBK" w:hAnsi="Calibri" w:eastAsia="方正小标宋_GBK" w:cs="Times New Roman"/>
          <w:color w:val="auto"/>
          <w:sz w:val="24"/>
          <w:szCs w:val="24"/>
        </w:rPr>
        <w:t>报价单位（盖章）：</w:t>
      </w:r>
      <w:r>
        <w:rPr>
          <w:rFonts w:hint="eastAsia" w:ascii="方正小标宋_GBK" w:eastAsia="方正小标宋_GBK"/>
          <w:color w:val="auto"/>
          <w:sz w:val="24"/>
          <w:szCs w:val="24"/>
        </w:rPr>
        <w:t xml:space="preserve">            </w:t>
      </w:r>
      <w:r>
        <w:rPr>
          <w:rFonts w:hint="eastAsia" w:ascii="方正小标宋_GBK" w:eastAsia="方正小标宋_GBK"/>
          <w:color w:val="auto"/>
          <w:sz w:val="24"/>
          <w:szCs w:val="24"/>
          <w:lang w:val="en-US" w:eastAsia="zh-CN"/>
        </w:rPr>
        <w:t xml:space="preserve">      </w:t>
      </w:r>
      <w:r>
        <w:rPr>
          <w:rFonts w:hint="eastAsia" w:ascii="方正小标宋_GBK" w:eastAsia="方正小标宋_GBK"/>
          <w:color w:val="auto"/>
          <w:sz w:val="24"/>
          <w:szCs w:val="24"/>
        </w:rPr>
        <w:t xml:space="preserve">  </w:t>
      </w:r>
      <w:r>
        <w:rPr>
          <w:rFonts w:hint="eastAsia" w:ascii="方正小标宋_GBK" w:hAnsi="Calibri" w:eastAsia="方正小标宋_GBK" w:cs="Times New Roman"/>
          <w:color w:val="auto"/>
          <w:sz w:val="24"/>
          <w:szCs w:val="24"/>
        </w:rPr>
        <w:t>法人签字：</w:t>
      </w:r>
    </w:p>
    <w:p>
      <w:pPr>
        <w:spacing w:line="460" w:lineRule="exact"/>
        <w:rPr>
          <w:rFonts w:ascii="方正小标宋_GBK" w:hAnsi="Calibri" w:eastAsia="方正小标宋_GBK" w:cs="Times New Roman"/>
          <w:color w:val="auto"/>
          <w:sz w:val="24"/>
          <w:szCs w:val="24"/>
        </w:rPr>
      </w:pPr>
    </w:p>
    <w:p>
      <w:pPr>
        <w:spacing w:line="460" w:lineRule="exact"/>
        <w:rPr>
          <w:rFonts w:ascii="方正小标宋_GBK" w:eastAsia="方正小标宋_GBK"/>
          <w:color w:val="auto"/>
          <w:sz w:val="24"/>
          <w:szCs w:val="24"/>
        </w:rPr>
      </w:pPr>
      <w:r>
        <w:rPr>
          <w:rFonts w:hint="eastAsia" w:ascii="方正小标宋_GBK" w:hAnsi="Calibri" w:eastAsia="方正小标宋_GBK" w:cs="Times New Roman"/>
          <w:color w:val="auto"/>
          <w:sz w:val="24"/>
          <w:szCs w:val="24"/>
        </w:rPr>
        <w:t xml:space="preserve">授权代表签字：   </w:t>
      </w:r>
      <w:r>
        <w:rPr>
          <w:rFonts w:hint="eastAsia" w:ascii="方正小标宋_GBK" w:eastAsia="方正小标宋_GBK"/>
          <w:color w:val="auto"/>
          <w:sz w:val="24"/>
          <w:szCs w:val="24"/>
        </w:rPr>
        <w:t xml:space="preserve">              </w:t>
      </w:r>
      <w:r>
        <w:rPr>
          <w:rFonts w:hint="eastAsia" w:ascii="方正小标宋_GBK" w:eastAsia="方正小标宋_GBK"/>
          <w:color w:val="auto"/>
          <w:sz w:val="24"/>
          <w:szCs w:val="24"/>
          <w:lang w:val="en-US" w:eastAsia="zh-CN"/>
        </w:rPr>
        <w:t xml:space="preserve">      </w:t>
      </w:r>
      <w:r>
        <w:rPr>
          <w:rFonts w:hint="eastAsia" w:ascii="方正小标宋_GBK" w:hAnsi="Calibri" w:eastAsia="方正小标宋_GBK" w:cs="Times New Roman"/>
          <w:color w:val="auto"/>
          <w:sz w:val="24"/>
          <w:szCs w:val="24"/>
        </w:rPr>
        <w:t>授权代表电话：</w:t>
      </w:r>
    </w:p>
    <w:p>
      <w:pPr>
        <w:spacing w:line="460" w:lineRule="exact"/>
        <w:rPr>
          <w:rFonts w:ascii="方正小标宋_GBK" w:hAnsi="Calibri" w:eastAsia="方正小标宋_GBK" w:cs="Times New Roman"/>
          <w:color w:val="auto"/>
          <w:sz w:val="24"/>
          <w:szCs w:val="24"/>
        </w:rPr>
      </w:pPr>
    </w:p>
    <w:p>
      <w:pPr>
        <w:ind w:firstLine="5640" w:firstLineChars="2350"/>
        <w:rPr>
          <w:rFonts w:hint="eastAsia" w:ascii="方正小标宋_GBK" w:hAnsi="Calibri" w:eastAsia="方正小标宋_GBK" w:cs="Times New Roman"/>
          <w:color w:val="auto"/>
          <w:sz w:val="24"/>
          <w:szCs w:val="24"/>
        </w:rPr>
      </w:pPr>
      <w:r>
        <w:rPr>
          <w:rFonts w:hint="eastAsia" w:ascii="方正小标宋_GBK" w:hAnsi="Calibri" w:eastAsia="方正小标宋_GBK" w:cs="Times New Roman"/>
          <w:color w:val="auto"/>
          <w:sz w:val="24"/>
          <w:szCs w:val="24"/>
        </w:rPr>
        <w:t>日    期：</w:t>
      </w:r>
    </w:p>
    <w:p>
      <w:pPr>
        <w:jc w:val="left"/>
        <w:rPr>
          <w:rFonts w:hint="eastAsia" w:ascii="方正小标宋_GBK" w:hAnsi="Calibri" w:eastAsia="方正小标宋_GBK"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5998B"/>
    <w:multiLevelType w:val="singleLevel"/>
    <w:tmpl w:val="ECE5998B"/>
    <w:lvl w:ilvl="0" w:tentative="0">
      <w:start w:val="2"/>
      <w:numFmt w:val="decimal"/>
      <w:suff w:val="nothing"/>
      <w:lvlText w:val="%1、"/>
      <w:lvlJc w:val="left"/>
    </w:lvl>
  </w:abstractNum>
  <w:abstractNum w:abstractNumId="1">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F4E3B"/>
    <w:rsid w:val="003D0C90"/>
    <w:rsid w:val="00684922"/>
    <w:rsid w:val="00B07156"/>
    <w:rsid w:val="00CB730B"/>
    <w:rsid w:val="185301F7"/>
    <w:rsid w:val="32972250"/>
    <w:rsid w:val="39A402B5"/>
    <w:rsid w:val="3C33187E"/>
    <w:rsid w:val="42681499"/>
    <w:rsid w:val="4BC23897"/>
    <w:rsid w:val="4DA930EA"/>
    <w:rsid w:val="58FC6FA3"/>
    <w:rsid w:val="5F6E58DA"/>
    <w:rsid w:val="60EA6ECA"/>
    <w:rsid w:val="6AE148DC"/>
    <w:rsid w:val="6BF4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napToGrid/>
      <w:kern w:val="2"/>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font31"/>
    <w:basedOn w:val="6"/>
    <w:qFormat/>
    <w:uiPriority w:val="0"/>
    <w:rPr>
      <w:rFonts w:hint="eastAsia" w:ascii="宋体" w:hAnsi="宋体" w:eastAsia="宋体" w:cs="宋体"/>
      <w:b/>
      <w:color w:val="FF0000"/>
      <w:sz w:val="18"/>
      <w:szCs w:val="18"/>
      <w:u w:val="none"/>
    </w:rPr>
  </w:style>
  <w:style w:type="character" w:customStyle="1" w:styleId="13">
    <w:name w:val="font0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257</Characters>
  <Lines>2</Lines>
  <Paragraphs>1</Paragraphs>
  <TotalTime>11</TotalTime>
  <ScaleCrop>false</ScaleCrop>
  <LinksUpToDate>false</LinksUpToDate>
  <CharactersWithSpaces>300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2018-10-09T06:51:00Z</cp:lastPrinted>
  <dcterms:modified xsi:type="dcterms:W3CDTF">2018-10-29T08:05:47Z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